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92F07" w14:textId="77777777" w:rsidR="00BF574C" w:rsidRPr="00FD4B91" w:rsidRDefault="00BF574C" w:rsidP="00BB392E">
      <w:pPr>
        <w:shd w:val="clear" w:color="auto" w:fill="FFFFFF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E7DF14A" w14:textId="5C145693" w:rsidR="00D30976" w:rsidRPr="00FD4B91" w:rsidRDefault="008106DF" w:rsidP="006846F1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Pabianice</w:t>
      </w:r>
      <w:r w:rsidR="00AF0BD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,</w:t>
      </w:r>
      <w:r w:rsidR="00672D6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70482D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dnia </w:t>
      </w:r>
      <w:r w:rsidR="00F844AA">
        <w:rPr>
          <w:rFonts w:ascii="Times New Roman" w:hAnsi="Times New Roman" w:cs="Times New Roman"/>
          <w:spacing w:val="-1"/>
          <w:w w:val="90"/>
          <w:sz w:val="24"/>
          <w:szCs w:val="24"/>
        </w:rPr>
        <w:t>26</w:t>
      </w:r>
      <w:r w:rsidR="00903B0B">
        <w:rPr>
          <w:rFonts w:ascii="Times New Roman" w:hAnsi="Times New Roman" w:cs="Times New Roman"/>
          <w:spacing w:val="-1"/>
          <w:w w:val="90"/>
          <w:sz w:val="24"/>
          <w:szCs w:val="24"/>
        </w:rPr>
        <w:t>.11.</w:t>
      </w:r>
      <w:r w:rsidR="00FD4B91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>202</w:t>
      </w:r>
      <w:r w:rsidR="00C735F3">
        <w:rPr>
          <w:rFonts w:ascii="Times New Roman" w:hAnsi="Times New Roman" w:cs="Times New Roman"/>
          <w:spacing w:val="-1"/>
          <w:w w:val="90"/>
          <w:sz w:val="24"/>
          <w:szCs w:val="24"/>
        </w:rPr>
        <w:t>5</w:t>
      </w:r>
    </w:p>
    <w:p w14:paraId="709E843D" w14:textId="77777777" w:rsidR="00BF531A" w:rsidRPr="00FD4B91" w:rsidRDefault="00BF531A" w:rsidP="006846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0C4408C8" w14:textId="77777777" w:rsidR="00CA6CEA" w:rsidRPr="00FD4B91" w:rsidRDefault="00CA6CEA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2911946F" w14:textId="3FB915FE" w:rsidR="00D30976" w:rsidRPr="00FD4B91" w:rsidRDefault="0006442F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ZAPYTANIE OFERTOWE</w:t>
      </w:r>
      <w:r w:rsidR="00672D6D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2D3A59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NR </w:t>
      </w:r>
      <w:r w:rsidR="000C48B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2</w:t>
      </w:r>
      <w:r w:rsidR="00FD4B91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/202</w:t>
      </w:r>
      <w:r w:rsidR="00C735F3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5</w:t>
      </w:r>
      <w:r w:rsidR="00FB0AF3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 NA</w:t>
      </w:r>
      <w:r w:rsidR="00E760EC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:</w:t>
      </w:r>
    </w:p>
    <w:p w14:paraId="22782D82" w14:textId="17142803" w:rsidR="00D30976" w:rsidRPr="00FD4B91" w:rsidRDefault="001D6124" w:rsidP="00FD4B91">
      <w:pPr>
        <w:shd w:val="clear" w:color="auto" w:fill="FFFFFF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nabycie</w:t>
      </w:r>
      <w:r w:rsidR="00771464">
        <w:rPr>
          <w:rFonts w:ascii="Times New Roman" w:hAnsi="Times New Roman" w:cs="Times New Roman"/>
          <w:b/>
          <w:sz w:val="24"/>
          <w:szCs w:val="24"/>
        </w:rPr>
        <w:t>:</w:t>
      </w:r>
      <w:r w:rsidR="00ED4549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26238D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prasy krawędziowej</w:t>
      </w:r>
      <w:r w:rsidR="000F04A7" w:rsidRPr="000F04A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26238D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oraz </w:t>
      </w:r>
      <w:r w:rsidR="002A630E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wypalarki laserowej</w:t>
      </w:r>
    </w:p>
    <w:p w14:paraId="77769D21" w14:textId="21F1941D" w:rsidR="00BB392E" w:rsidRPr="00FD4B91" w:rsidRDefault="001552AD" w:rsidP="001552AD">
      <w:pPr>
        <w:shd w:val="clear" w:color="auto" w:fill="FFFFFF"/>
        <w:tabs>
          <w:tab w:val="left" w:pos="3690"/>
        </w:tabs>
        <w:spacing w:line="276" w:lineRule="auto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ab/>
      </w:r>
    </w:p>
    <w:p w14:paraId="1C76F114" w14:textId="77777777" w:rsidR="003A1239" w:rsidRPr="00FD4B91" w:rsidRDefault="003A123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Dane Zamawiającego:</w:t>
      </w:r>
    </w:p>
    <w:p w14:paraId="0A83873A" w14:textId="77777777" w:rsidR="00AE7C6B" w:rsidRPr="00AE7C6B" w:rsidRDefault="00AE7C6B" w:rsidP="00AE7C6B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Drum Sp. z o.o.</w:t>
      </w:r>
    </w:p>
    <w:p w14:paraId="72E7656E" w14:textId="77777777" w:rsidR="00AE7C6B" w:rsidRPr="00AE7C6B" w:rsidRDefault="00AE7C6B" w:rsidP="00AE7C6B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bookmarkStart w:id="0" w:name="_Hlk209770868"/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95-200 Pabianice,</w:t>
      </w:r>
    </w:p>
    <w:p w14:paraId="322B10FE" w14:textId="77777777" w:rsidR="00AE7C6B" w:rsidRPr="00AE7C6B" w:rsidRDefault="00AE7C6B" w:rsidP="00AE7C6B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Ul. Poziomkowa 16</w:t>
      </w:r>
    </w:p>
    <w:bookmarkEnd w:id="0"/>
    <w:p w14:paraId="1A0B49EF" w14:textId="3937A6A2" w:rsidR="00BB392E" w:rsidRPr="00FD4B91" w:rsidRDefault="00AE7C6B" w:rsidP="00AE7C6B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NIP: 7312067561</w:t>
      </w:r>
    </w:p>
    <w:p w14:paraId="3E201C1B" w14:textId="77777777" w:rsidR="00FB0AF3" w:rsidRPr="00FD4B91" w:rsidRDefault="00FB0AF3" w:rsidP="00903B0B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Tryb udzielenia zamówienia:</w:t>
      </w:r>
    </w:p>
    <w:p w14:paraId="70E3202E" w14:textId="77777777" w:rsidR="00FB0AF3" w:rsidRPr="00FD4B91" w:rsidRDefault="00536C96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Zapytanie ofertowe zgodne z zasadą</w:t>
      </w:r>
      <w:r w:rsidR="00166CF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konkurencyjności.</w:t>
      </w:r>
    </w:p>
    <w:p w14:paraId="545685E3" w14:textId="0C81802E" w:rsidR="00FD4B91" w:rsidRPr="00FD4B91" w:rsidRDefault="00BA6A0B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Zamówienie w ramach projektu</w:t>
      </w:r>
      <w:r w:rsidR="00BB392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pt. </w:t>
      </w:r>
      <w:r w:rsidR="00C755C9" w:rsidRPr="00C755C9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Wdrożenie wyników prac B+R dotyczących linii technologicznej do produkcji materiałów sypkich, wraz z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innowacyjnym podajnikiem dedykowanym do mieszanek betonowych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”, współfinansowanego ze środków Europejskiego Funduszu Rozwoju Regionalnego w ramach naboru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D000A0" w:rsidRPr="00D000A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FELD.09.01-IZ.00-002/24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165B3500" w14:textId="77777777" w:rsidR="00E259D5" w:rsidRPr="00FD4B91" w:rsidRDefault="002D3A5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</w:t>
      </w:r>
      <w:r w:rsidR="00E259D5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rzedmiot zamówienia: </w:t>
      </w:r>
    </w:p>
    <w:p w14:paraId="12A3566C" w14:textId="77777777" w:rsidR="004506E6" w:rsidRDefault="002D3A59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Przedmiotem zamówienia jest</w:t>
      </w:r>
      <w:r w:rsidR="00D753AC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: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06C3FE84" w14:textId="6EEFC1CA" w:rsidR="001705B7" w:rsidRDefault="004506E6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1. D</w:t>
      </w:r>
      <w:r w:rsidR="0075485B"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ostawa i uruchomienie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4506E6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prasy krawędziowej</w:t>
      </w:r>
      <w:r w:rsidR="000F3A18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 xml:space="preserve"> o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inimaln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ych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wymagania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, które muszą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być 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spełni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one:</w:t>
      </w:r>
    </w:p>
    <w:p w14:paraId="14112089" w14:textId="77777777" w:rsidR="0006391B" w:rsidRPr="0006391B" w:rsidRDefault="0006391B" w:rsidP="00903B0B">
      <w:pPr>
        <w:ind w:right="2140" w:firstLine="286"/>
        <w:rPr>
          <w:rFonts w:ascii="Times New Roman" w:hAnsi="Times New Roman"/>
          <w:sz w:val="24"/>
        </w:rPr>
      </w:pPr>
      <w:r w:rsidRPr="0006391B">
        <w:rPr>
          <w:rFonts w:ascii="Times New Roman" w:hAnsi="Times New Roman"/>
          <w:sz w:val="24"/>
        </w:rPr>
        <w:t xml:space="preserve">• </w:t>
      </w:r>
      <w:r w:rsidRPr="007311EF">
        <w:rPr>
          <w:rFonts w:ascii="Times New Roman" w:hAnsi="Times New Roman"/>
          <w:sz w:val="24"/>
        </w:rPr>
        <w:t>Długość robocza minimum 3100mm</w:t>
      </w:r>
    </w:p>
    <w:p w14:paraId="7019F22C" w14:textId="77777777" w:rsidR="0006391B" w:rsidRPr="0006391B" w:rsidRDefault="0006391B" w:rsidP="00903B0B">
      <w:pPr>
        <w:ind w:right="2140" w:firstLine="286"/>
        <w:rPr>
          <w:rFonts w:ascii="Times New Roman" w:hAnsi="Times New Roman"/>
          <w:sz w:val="24"/>
        </w:rPr>
      </w:pPr>
      <w:r w:rsidRPr="0006391B">
        <w:rPr>
          <w:rFonts w:ascii="Times New Roman" w:hAnsi="Times New Roman"/>
          <w:sz w:val="24"/>
        </w:rPr>
        <w:t xml:space="preserve">• </w:t>
      </w:r>
      <w:r w:rsidRPr="007311EF">
        <w:rPr>
          <w:rFonts w:ascii="Times New Roman" w:hAnsi="Times New Roman"/>
          <w:sz w:val="24"/>
        </w:rPr>
        <w:t>Nacisk minimum 150 ton</w:t>
      </w:r>
    </w:p>
    <w:p w14:paraId="2E6C69FC" w14:textId="5C6037BD" w:rsidR="0006391B" w:rsidRPr="0006391B" w:rsidRDefault="0006391B" w:rsidP="00903B0B">
      <w:pPr>
        <w:ind w:left="286" w:right="2140"/>
        <w:rPr>
          <w:rFonts w:ascii="Times New Roman" w:hAnsi="Times New Roman"/>
          <w:sz w:val="24"/>
        </w:rPr>
      </w:pPr>
      <w:r w:rsidRPr="0006391B">
        <w:rPr>
          <w:rFonts w:ascii="Times New Roman" w:hAnsi="Times New Roman"/>
          <w:sz w:val="24"/>
        </w:rPr>
        <w:t xml:space="preserve">• </w:t>
      </w:r>
      <w:r w:rsidRPr="007311EF">
        <w:rPr>
          <w:rFonts w:ascii="Times New Roman" w:hAnsi="Times New Roman"/>
          <w:sz w:val="24"/>
        </w:rPr>
        <w:t xml:space="preserve">Oprogramowanie offline stworzone przez producenta maszyny, </w:t>
      </w:r>
      <w:r w:rsidR="00EA6E4D">
        <w:rPr>
          <w:rFonts w:ascii="Times New Roman" w:hAnsi="Times New Roman"/>
          <w:sz w:val="24"/>
        </w:rPr>
        <w:t>p</w:t>
      </w:r>
      <w:r w:rsidRPr="007311EF">
        <w:rPr>
          <w:rFonts w:ascii="Times New Roman" w:hAnsi="Times New Roman"/>
          <w:sz w:val="24"/>
        </w:rPr>
        <w:t>ozwalające na obsługę plików 3D i generujące programy 3D na prasę krawędziową</w:t>
      </w:r>
    </w:p>
    <w:p w14:paraId="102AC6E3" w14:textId="77777777" w:rsidR="0006391B" w:rsidRDefault="0006391B" w:rsidP="00903B0B">
      <w:pPr>
        <w:ind w:left="286" w:right="2140"/>
        <w:rPr>
          <w:rFonts w:ascii="Times New Roman" w:hAnsi="Times New Roman"/>
          <w:sz w:val="24"/>
        </w:rPr>
      </w:pPr>
      <w:r w:rsidRPr="0006391B">
        <w:rPr>
          <w:rFonts w:ascii="Times New Roman" w:hAnsi="Times New Roman"/>
          <w:sz w:val="24"/>
        </w:rPr>
        <w:t xml:space="preserve">• </w:t>
      </w:r>
      <w:r w:rsidRPr="007311EF">
        <w:rPr>
          <w:rFonts w:ascii="Times New Roman" w:hAnsi="Times New Roman"/>
          <w:sz w:val="24"/>
        </w:rPr>
        <w:t>podstawowy komplet narzędzi (stempel + matryca 4 rowkowa)</w:t>
      </w:r>
    </w:p>
    <w:p w14:paraId="1BE969F4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•Standardowa rama Skok 270mm, Prześwit 520mm, Wysięg 400mm – 1szt.</w:t>
      </w:r>
    </w:p>
    <w:p w14:paraId="64927601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•Sterowanie FastBEND-2D Multi-Touch Premium 21,5” – 1 szt.</w:t>
      </w:r>
    </w:p>
    <w:p w14:paraId="61C5DF53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•Lazersafe LZS manualny system świetlnej kurtyny bezpieczeństwa, CE, punkt zmiany prędkości 6 mm- 1 szt.</w:t>
      </w:r>
    </w:p>
    <w:p w14:paraId="7F15609E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•Rozruch gwiazda – trójkąt – 1szt.</w:t>
      </w:r>
    </w:p>
    <w:p w14:paraId="72289C0F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•Zderzak 2-osiowy, sterowany w osiach X-R, X: skok 800mm, R: skok 250mm – 1szt.</w:t>
      </w:r>
    </w:p>
    <w:p w14:paraId="333241C3" w14:textId="485525D6" w:rsidR="00F44E40" w:rsidRPr="00F44E40" w:rsidRDefault="00F44E40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•Stół ADTS do narzędzi typu European Standard (PROMECAM) z automatyczną kompensacją strzałki ugięcia +</w:t>
      </w:r>
      <w:r w:rsidR="00884589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rowek pod Single-V- 1 szt.</w:t>
      </w:r>
    </w:p>
    <w:p w14:paraId="2A11A69D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•Zacisk narzędzi górnych typu European Standard (PROMECAM): uchwyty pośrednie + zaciski- 15 szt.</w:t>
      </w:r>
    </w:p>
    <w:p w14:paraId="2B680964" w14:textId="5DC7DFB6" w:rsidR="001569DB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</w:t>
      </w:r>
      <w:r w:rsidR="00F74428" w:rsidRPr="00F74428">
        <w:t xml:space="preserve"> </w:t>
      </w:r>
      <w:r w:rsidR="00F74428" w:rsidRPr="00F74428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Zacisk górnych narzędzi pneumatyczny</w:t>
      </w: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F20BA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1569DB" w:rsidRPr="001569D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Szybki zacisk ręczny przez dźwigienki zacisków narzędzi górnych- 15 szt.</w:t>
      </w:r>
    </w:p>
    <w:p w14:paraId="45F4E5B9" w14:textId="77777777" w:rsidR="00F44E40" w:rsidRPr="00F44E40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•2 ruchome Podpory przednie typ I – na całej długości roboczej, regulowana wysokość – 1 szt.</w:t>
      </w:r>
    </w:p>
    <w:p w14:paraId="4CAC9E15" w14:textId="5F1DB177" w:rsidR="008544DC" w:rsidRDefault="00F44E40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70C0"/>
          <w:spacing w:val="-1"/>
          <w:w w:val="90"/>
          <w:sz w:val="24"/>
          <w:szCs w:val="24"/>
        </w:rPr>
      </w:pPr>
      <w:r w:rsidRPr="00F44E4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•Zasilanie: Częstotliwość: 50 Hz, Napięcie: 380V do 440V</w:t>
      </w:r>
      <w:r w:rsidR="008544DC" w:rsidRPr="008544DC">
        <w:rPr>
          <w:rFonts w:ascii="Times New Roman" w:hAnsi="Times New Roman" w:cs="Times New Roman"/>
          <w:color w:val="0070C0"/>
          <w:spacing w:val="-1"/>
          <w:w w:val="90"/>
          <w:sz w:val="24"/>
          <w:szCs w:val="24"/>
        </w:rPr>
        <w:t>,</w:t>
      </w:r>
    </w:p>
    <w:p w14:paraId="5F0E6340" w14:textId="77777777" w:rsidR="000158B2" w:rsidRPr="007D5571" w:rsidRDefault="000158B2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0158B2">
        <w:rPr>
          <w:rFonts w:ascii="Times New Roman" w:hAnsi="Times New Roman" w:cs="Times New Roman"/>
          <w:color w:val="0070C0"/>
          <w:spacing w:val="-1"/>
          <w:w w:val="90"/>
          <w:sz w:val="24"/>
          <w:szCs w:val="24"/>
        </w:rPr>
        <w:t>•</w:t>
      </w:r>
      <w:r w:rsidRPr="000158B2">
        <w:rPr>
          <w:rFonts w:ascii="Times New Roman" w:hAnsi="Times New Roman" w:cs="Times New Roman"/>
          <w:color w:val="0070C0"/>
          <w:spacing w:val="-1"/>
          <w:w w:val="90"/>
          <w:sz w:val="24"/>
          <w:szCs w:val="24"/>
        </w:rPr>
        <w:tab/>
      </w: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Silnik główny o mocy maksymalnej do 15 kW.</w:t>
      </w:r>
    </w:p>
    <w:p w14:paraId="46026504" w14:textId="77777777" w:rsidR="000158B2" w:rsidRPr="007D5571" w:rsidRDefault="000158B2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•</w:t>
      </w: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ab/>
        <w:t>Sterownik dotykowy 2D stworzony przez producenta maszyny z wizualizacją 3D i możliwością wykonywania programów 3D o przekątnej minimum 21,5 cala.</w:t>
      </w:r>
    </w:p>
    <w:p w14:paraId="64EA3154" w14:textId="77777777" w:rsidR="000158B2" w:rsidRPr="007D5571" w:rsidRDefault="000158B2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•</w:t>
      </w: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ab/>
        <w:t>Sterownik z wizualizacją i kontrolą kolizji na podstawie rzeczywistego modelu maszyny.</w:t>
      </w:r>
    </w:p>
    <w:p w14:paraId="043151AA" w14:textId="07734C6B" w:rsidR="00CD7D6B" w:rsidRPr="007D5571" w:rsidRDefault="000158B2" w:rsidP="00903B0B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•</w:t>
      </w:r>
      <w:r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ab/>
        <w:t>Zabezpieczenia laserowe przestrzeni roboczej z przodu i z tyłu maszyny.</w:t>
      </w:r>
    </w:p>
    <w:p w14:paraId="201D488F" w14:textId="5AD19748" w:rsidR="00090CCE" w:rsidRDefault="00090CCE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090CCE">
        <w:rPr>
          <w:rFonts w:ascii="Times New Roman" w:hAnsi="Times New Roman" w:cs="Times New Roman"/>
          <w:b/>
          <w:bCs/>
          <w:spacing w:val="-1"/>
          <w:w w:val="90"/>
          <w:sz w:val="24"/>
          <w:szCs w:val="24"/>
        </w:rPr>
        <w:t>2.</w:t>
      </w:r>
      <w:r w:rsidRPr="00090CCE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 </w:t>
      </w:r>
      <w:r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Dostawa i uruchomienie</w:t>
      </w: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wypa</w:t>
      </w:r>
      <w:r w:rsidR="000C7184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larki laserowej</w:t>
      </w:r>
      <w:r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 xml:space="preserve"> o</w:t>
      </w:r>
      <w:r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</w:t>
      </w:r>
      <w:r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inimaln</w:t>
      </w:r>
      <w:r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ych</w:t>
      </w:r>
      <w:r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wymagania</w:t>
      </w:r>
      <w:r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ch</w:t>
      </w:r>
      <w:r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, które muszą </w:t>
      </w:r>
      <w:r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być </w:t>
      </w:r>
      <w:r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lastRenderedPageBreak/>
        <w:t>spełni</w:t>
      </w:r>
      <w:r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one:</w:t>
      </w:r>
    </w:p>
    <w:p w14:paraId="43531F1E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kompletna zabudowa przestrzeni roboczej</w:t>
      </w:r>
    </w:p>
    <w:p w14:paraId="66DD9FB5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2 stoły wymienne</w:t>
      </w:r>
    </w:p>
    <w:p w14:paraId="5F44CC7A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obszar roboczy minimum 1500x3000mm</w:t>
      </w:r>
    </w:p>
    <w:p w14:paraId="6D654979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moc źródła laserowego minimum 6kW</w:t>
      </w:r>
    </w:p>
    <w:p w14:paraId="61C08909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komplet urządzeń dodatkowych takich jak: system filtrowentylacji, chłodnica, stabilizator.</w:t>
      </w:r>
    </w:p>
    <w:p w14:paraId="325615A2" w14:textId="77777777" w:rsidR="0006391B" w:rsidRPr="007311EF" w:rsidRDefault="0006391B" w:rsidP="007311EF">
      <w:pPr>
        <w:spacing w:line="0" w:lineRule="atLeast"/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profesjonalne oprogramowanie do nestingu</w:t>
      </w:r>
    </w:p>
    <w:p w14:paraId="38A0A62B" w14:textId="5F377591" w:rsidR="0006391B" w:rsidRPr="00245C76" w:rsidRDefault="0006391B" w:rsidP="00245C76">
      <w:pPr>
        <w:ind w:left="284"/>
        <w:rPr>
          <w:rFonts w:ascii="Times New Roman" w:hAnsi="Times New Roman"/>
          <w:sz w:val="24"/>
        </w:rPr>
      </w:pPr>
      <w:r w:rsidRPr="007311EF">
        <w:rPr>
          <w:rFonts w:ascii="Times New Roman" w:hAnsi="Times New Roman"/>
          <w:sz w:val="24"/>
        </w:rPr>
        <w:t>• oprogramowanie offline do konwersji modeli 3D (STP, IGS) na rozwinięcia 2D (DXF, DWG)</w:t>
      </w:r>
    </w:p>
    <w:p w14:paraId="1130BA0E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•Źródło laserowe: wiązka lasera, ponad 40% współczynnik sprawności</w:t>
      </w:r>
    </w:p>
    <w:p w14:paraId="155E6529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•Głowica laserowa: dokładność ogniskowania do 0,01 mm</w:t>
      </w:r>
    </w:p>
    <w:p w14:paraId="615B809A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•System sterowania z kontrolą prędkości z optycznym transmisyjnym systemem cięcia laserem</w:t>
      </w:r>
    </w:p>
    <w:p w14:paraId="0E618251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światłowodowym HSG, funkcji, takich jak cięcie skanujące, 5-stopniowe przebijanie, precyzyjna kontrola</w:t>
      </w:r>
    </w:p>
    <w:p w14:paraId="4DD12641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energii lasera, przypomnienie o konserwacji, raport z procesu itp.</w:t>
      </w:r>
    </w:p>
    <w:p w14:paraId="6BB57ABB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•Korpus maszyny:</w:t>
      </w:r>
    </w:p>
    <w:p w14:paraId="2C324016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Wytrzymałość na rozciąganie powyżej 500 MPa</w:t>
      </w:r>
    </w:p>
    <w:p w14:paraId="1ED1520D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blokada koła stożkowego, brak drgań podczas cięcia i ładowania</w:t>
      </w:r>
    </w:p>
    <w:p w14:paraId="5F459031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•Zakres Stołu: mm X: 1500 Y: 3000</w:t>
      </w:r>
    </w:p>
    <w:p w14:paraId="0AB98EFB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•Przyspieszenie G 1,5</w:t>
      </w:r>
    </w:p>
    <w:p w14:paraId="0BAEEB3C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•Max Prędkość m/min 140</w:t>
      </w:r>
    </w:p>
    <w:p w14:paraId="50830B2D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•Dokładność Pozycjonowania mm/m ±0.03</w:t>
      </w:r>
    </w:p>
    <w:p w14:paraId="4E50A7E5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•Dokładność Powtarzania mm ±0.03</w:t>
      </w:r>
    </w:p>
    <w:p w14:paraId="0745E146" w14:textId="77777777" w:rsidR="00527E51" w:rsidRP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•Ciężar Załadunku kg 900</w:t>
      </w:r>
    </w:p>
    <w:p w14:paraId="5389FDCD" w14:textId="1EDFEF2E" w:rsidR="00527E51" w:rsidRDefault="00527E51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27E5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•Moc KW/A</w:t>
      </w:r>
    </w:p>
    <w:p w14:paraId="138A6F32" w14:textId="77777777" w:rsidR="007E22C5" w:rsidRPr="007E22C5" w:rsidRDefault="007E22C5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7E22C5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19KW/38A 1500W)</w:t>
      </w:r>
    </w:p>
    <w:p w14:paraId="40D89E6A" w14:textId="77777777" w:rsidR="007E22C5" w:rsidRPr="007E22C5" w:rsidRDefault="007E22C5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7E22C5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21.5KW/43A 2000W</w:t>
      </w:r>
    </w:p>
    <w:p w14:paraId="51422CC3" w14:textId="77777777" w:rsidR="007E22C5" w:rsidRPr="007E22C5" w:rsidRDefault="007E22C5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7E22C5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26.5KW/53A 3000W</w:t>
      </w:r>
    </w:p>
    <w:p w14:paraId="72BC1006" w14:textId="77777777" w:rsidR="007E22C5" w:rsidRPr="007E22C5" w:rsidRDefault="007E22C5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7E22C5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31.5KW/63A 4000W</w:t>
      </w:r>
    </w:p>
    <w:p w14:paraId="4193B8C0" w14:textId="33BFB88E" w:rsidR="007E22C5" w:rsidRPr="00527E51" w:rsidRDefault="007E22C5" w:rsidP="00245C76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7E22C5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41.5KW/8</w:t>
      </w:r>
    </w:p>
    <w:p w14:paraId="4254A384" w14:textId="77777777" w:rsidR="008544DC" w:rsidRDefault="008544DC" w:rsidP="001705B7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2F673360" w14:textId="05816DE3" w:rsidR="008F5F1C" w:rsidRPr="008F5F1C" w:rsidRDefault="008F5F1C" w:rsidP="00434286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Określenie przedmiotu zamówienia wg Wspólnego Słownika Zamówień (CPV):– </w:t>
      </w:r>
      <w:hyperlink r:id="rId8" w:history="1">
        <w:r w:rsidRPr="008F5F1C">
          <w:rPr>
            <w:rFonts w:ascii="Times New Roman" w:hAnsi="Times New Roman" w:cs="Times New Roman"/>
            <w:color w:val="000000"/>
            <w:spacing w:val="-1"/>
            <w:w w:val="90"/>
            <w:sz w:val="24"/>
            <w:szCs w:val="24"/>
          </w:rPr>
          <w:t>42600000-2</w:t>
        </w:r>
      </w:hyperlink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- Obrabiarki</w:t>
      </w:r>
    </w:p>
    <w:p w14:paraId="1E5A7016" w14:textId="535D67E4" w:rsidR="00104B93" w:rsidRPr="00125D6C" w:rsidRDefault="00104B93" w:rsidP="00125D6C">
      <w:pPr>
        <w:shd w:val="clear" w:color="auto" w:fill="FFFFFF"/>
        <w:spacing w:line="360" w:lineRule="auto"/>
        <w:ind w:left="64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25D6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dopuszcza stosowanie rozwiązań równoważnych, przy czym parametry urządzeń proponowanych przez Wykonawcę nie powinny być gorsze niż minimalne parametry opisane w niniejszym zapytaniu ofertowym. </w:t>
      </w:r>
    </w:p>
    <w:p w14:paraId="200C991B" w14:textId="7203FDB1" w:rsidR="00104B93" w:rsidRPr="00125D6C" w:rsidRDefault="00104B93" w:rsidP="0068509C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wskazania w zapytaniu znaku towarowego, patentu na wynalazek lub pochodzenia, prawa ochronnego na znak towarowy czy użytkowy, prawa z rejestracji na wzór przemysłowy lub świadectwa pochodzenia, a także źródła lub szczególnego procesu, Zamawiający dopuszcza składanie ofert równoważnych.</w:t>
      </w:r>
    </w:p>
    <w:p w14:paraId="14CB7880" w14:textId="3C98F996" w:rsidR="00D753AC" w:rsidRPr="00240E6A" w:rsidRDefault="00240E6A" w:rsidP="00D909A3">
      <w:pPr>
        <w:tabs>
          <w:tab w:val="left" w:pos="709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E6A">
        <w:rPr>
          <w:rFonts w:ascii="Times New Roman" w:hAnsi="Times New Roman" w:cs="Times New Roman"/>
          <w:sz w:val="24"/>
          <w:szCs w:val="24"/>
        </w:rPr>
        <w:t xml:space="preserve">We wszystkich przypadkach, w których w zapytaniu ofertowym lub załącznikach do niego ze względu na specyfikację przedmiotu zamówienia wskazano pochodzenie wyrobów, materiałów, urządzeń i technologii dopuszcza się stosowanie wyrobów, materiałów, urządzeń i technologii równoważnych, tj. wszelkie wymienione z nazwy wyroby, materiały, urządzenia i technologie użyte w przekazanej przez Zamawiającego dokumentacji służą określenia standardu i mogą być </w:t>
      </w:r>
      <w:r w:rsidRPr="00240E6A">
        <w:rPr>
          <w:rFonts w:ascii="Times New Roman" w:hAnsi="Times New Roman" w:cs="Times New Roman"/>
          <w:sz w:val="24"/>
          <w:szCs w:val="24"/>
        </w:rPr>
        <w:lastRenderedPageBreak/>
        <w:t>zastąpione innymi materiałami o niegorszych parametrach technicznych, użytkowych, jakościowych, funkcjonalnych i walorach estetycznych, przy uwzględnieniu prawidłowej współpracy z pozostałymi materiałami i urządzeniami.</w:t>
      </w:r>
    </w:p>
    <w:p w14:paraId="66828954" w14:textId="7D88E284" w:rsidR="0006442F" w:rsidRPr="00FD4B91" w:rsidRDefault="002D3A59" w:rsidP="00903B0B">
      <w:pPr>
        <w:shd w:val="clear" w:color="auto" w:fill="FFFFFF"/>
        <w:tabs>
          <w:tab w:val="left" w:pos="709"/>
        </w:tabs>
        <w:spacing w:line="360" w:lineRule="auto"/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Termin i miejsce realizacji zamówienia:</w:t>
      </w:r>
      <w:r w:rsidR="00987D6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48193A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n</w:t>
      </w:r>
      <w:r w:rsidR="002C4F72" w:rsidRPr="002C4F72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ie później niż</w:t>
      </w:r>
      <w:r w:rsidR="002C4F72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D77686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30.</w:t>
      </w:r>
      <w:r w:rsidR="0006391B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06.2026</w:t>
      </w:r>
      <w:r w:rsid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</w:t>
      </w:r>
      <w:r w:rsidR="006B025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FF457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EB7AAF" w:rsidRPr="00922D1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ul. Milenijna, Żłobnica</w:t>
      </w:r>
      <w:r w:rsidR="00EB7AA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,</w:t>
      </w:r>
      <w:r w:rsidR="00F8191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br/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arunk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ów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udziału w postępowaniu</w:t>
      </w:r>
      <w:r w:rsidR="001B68DC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38DB46AA" w14:textId="77777777" w:rsidR="002D3A59" w:rsidRPr="00FD4B91" w:rsidRDefault="002D3A59" w:rsidP="0068509C">
      <w:pPr>
        <w:numPr>
          <w:ilvl w:val="1"/>
          <w:numId w:val="1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 udzielenie zamówienia może ubiegać się wykonawca spełniający następujące warunki:</w:t>
      </w:r>
    </w:p>
    <w:p w14:paraId="38FB165C" w14:textId="2F1F6EE2" w:rsidR="00A842D7" w:rsidRPr="00FD4B91" w:rsidRDefault="00FD4BA1" w:rsidP="0068509C">
      <w:pPr>
        <w:numPr>
          <w:ilvl w:val="2"/>
          <w:numId w:val="1"/>
        </w:numPr>
        <w:shd w:val="clear" w:color="auto" w:fill="FFFFFF"/>
        <w:spacing w:line="360" w:lineRule="auto"/>
        <w:ind w:left="993" w:hanging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Udzielają gwarancji na dostarczone urządzenia co najmniej na </w:t>
      </w:r>
      <w:r w:rsid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12</w:t>
      </w:r>
      <w:r w:rsidR="00D81E5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miesięcy licząc od dnia podpisania protokołu odbioru końcowego</w:t>
      </w:r>
    </w:p>
    <w:p w14:paraId="13959AAC" w14:textId="77777777" w:rsidR="002D3A59" w:rsidRPr="00FD4B91" w:rsidRDefault="002D3A59" w:rsidP="0068509C">
      <w:pPr>
        <w:numPr>
          <w:ilvl w:val="1"/>
          <w:numId w:val="1"/>
        </w:numPr>
        <w:shd w:val="clear" w:color="auto" w:fill="FFFFFF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Ocena spełnienia w/w warunków zostanie przeprowadzona na podstawie następujących dokumentów, które każdy z Wykonawców ma obowiązek złożyć:</w:t>
      </w:r>
    </w:p>
    <w:p w14:paraId="6D5B6FDB" w14:textId="77777777" w:rsidR="00386E8D" w:rsidRPr="00FD4B91" w:rsidRDefault="00386E8D" w:rsidP="00D909A3">
      <w:pPr>
        <w:pStyle w:val="Nagwek2"/>
        <w:numPr>
          <w:ilvl w:val="0"/>
          <w:numId w:val="0"/>
        </w:numPr>
        <w:spacing w:before="0" w:after="0"/>
        <w:ind w:left="709" w:hanging="425"/>
        <w:rPr>
          <w:rFonts w:ascii="Times New Roman" w:hAnsi="Times New Roman"/>
          <w:bCs w:val="0"/>
          <w:iCs w:val="0"/>
          <w:color w:val="000000"/>
          <w:spacing w:val="-1"/>
          <w:w w:val="90"/>
          <w:sz w:val="24"/>
          <w:szCs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720"/>
        <w:gridCol w:w="8300"/>
      </w:tblGrid>
      <w:tr w:rsidR="00386E8D" w:rsidRPr="00FD4B91" w14:paraId="149691B1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7DF0750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Lp.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228717C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Wymagane dokumenty i dowody</w:t>
            </w:r>
          </w:p>
        </w:tc>
      </w:tr>
      <w:tr w:rsidR="00386E8D" w:rsidRPr="00FD4B91" w14:paraId="2A4BFDF9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FFFA6" w14:textId="77777777" w:rsidR="00386E8D" w:rsidRPr="00FD4B91" w:rsidRDefault="00263988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8707" w14:textId="77777777" w:rsidR="00386E8D" w:rsidRPr="00FD4B91" w:rsidRDefault="00D81E52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Wypełniony formularz ofertowy stanowiący załącznik nr 1 </w:t>
            </w:r>
          </w:p>
        </w:tc>
      </w:tr>
      <w:tr w:rsidR="002C1B2C" w:rsidRPr="00FD4B91" w14:paraId="45E8AC0F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41D1A" w14:textId="0A1D93B8" w:rsidR="002C1B2C" w:rsidRPr="00FD4B91" w:rsidRDefault="002C1B2C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59BE" w14:textId="2F479D29" w:rsidR="002C1B2C" w:rsidRDefault="002C1B2C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Specyfikacja </w:t>
            </w:r>
            <w:r w:rsidR="00366B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oferowanych maszyn</w:t>
            </w:r>
          </w:p>
        </w:tc>
      </w:tr>
    </w:tbl>
    <w:p w14:paraId="1D4023B3" w14:textId="77777777" w:rsidR="00894F41" w:rsidRPr="00FD4B91" w:rsidRDefault="00894F41" w:rsidP="00894F41">
      <w:pPr>
        <w:keepNext/>
        <w:shd w:val="clear" w:color="auto" w:fill="FFFFFF"/>
        <w:spacing w:line="360" w:lineRule="auto"/>
        <w:ind w:left="1080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40A64D03" w14:textId="77777777" w:rsidR="002D3A59" w:rsidRPr="00FD4B91" w:rsidRDefault="002D3A59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sposobu przygotowania oferty</w:t>
      </w:r>
    </w:p>
    <w:p w14:paraId="46E554C4" w14:textId="77777777" w:rsidR="002D3A59" w:rsidRPr="00FD4B91" w:rsidRDefault="002D3A59" w:rsidP="0068509C">
      <w:pPr>
        <w:numPr>
          <w:ilvl w:val="1"/>
          <w:numId w:val="5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przygotować zgodnie z opisem zamówienia. Oferent ponosi wszystkie koszty związane z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przygotowaniem i złożeniem oferty.</w:t>
      </w:r>
    </w:p>
    <w:p w14:paraId="66F1B386" w14:textId="77777777" w:rsidR="002D3A59" w:rsidRPr="00FD4B91" w:rsidRDefault="002D3A59" w:rsidP="0068509C">
      <w:pPr>
        <w:numPr>
          <w:ilvl w:val="1"/>
          <w:numId w:val="5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złożyć na formularzu stanowiącym załącznik do zapytania ofertowego.</w:t>
      </w:r>
    </w:p>
    <w:p w14:paraId="61811117" w14:textId="77777777" w:rsidR="002D3A59" w:rsidRPr="00FD4B91" w:rsidRDefault="00E55D21" w:rsidP="0068509C">
      <w:pPr>
        <w:numPr>
          <w:ilvl w:val="1"/>
          <w:numId w:val="5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Do oferty należy załączyć dokumenty określone w pkt. IV.2 zapytania.</w:t>
      </w:r>
    </w:p>
    <w:p w14:paraId="2F799166" w14:textId="77777777" w:rsidR="00E55D21" w:rsidRPr="00FD4B91" w:rsidRDefault="00E55D21" w:rsidP="0068509C">
      <w:pPr>
        <w:numPr>
          <w:ilvl w:val="1"/>
          <w:numId w:val="5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Oferta musi być ważna przynajmniej przez okres </w:t>
      </w:r>
      <w:r w:rsidR="00894F4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60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dni, przy czym bieg terminu rozpoczyna się wraz z upływem terminu składania ofert. W ofercie należy podać termin jej ważności.</w:t>
      </w:r>
    </w:p>
    <w:p w14:paraId="65CBBB10" w14:textId="77777777" w:rsidR="00BC605C" w:rsidRPr="00FD4B91" w:rsidRDefault="00E55D21" w:rsidP="0068509C">
      <w:pPr>
        <w:numPr>
          <w:ilvl w:val="1"/>
          <w:numId w:val="5"/>
        </w:numPr>
        <w:shd w:val="clear" w:color="auto" w:fill="FFFFFF"/>
        <w:spacing w:line="360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Oferta musi zostać podpisana przez osoby uprawnione do reprezentacji podmiotu składającego ofertę i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ostemplowana pieczęcią firmową. Każdą stronę oferty należy parafować.</w:t>
      </w:r>
    </w:p>
    <w:p w14:paraId="53D439D1" w14:textId="77777777" w:rsidR="0006442F" w:rsidRPr="00FD4B91" w:rsidRDefault="00FB0AF3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Miejsce i termin</w:t>
      </w:r>
      <w:r w:rsidR="00AC7521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E5602B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składania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ofert</w:t>
      </w:r>
    </w:p>
    <w:p w14:paraId="7BF046B8" w14:textId="4AE8BA69" w:rsidR="003E6BA7" w:rsidRPr="003E6BA7" w:rsidRDefault="00574421" w:rsidP="003E6BA7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7442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 wraz z załącznikami należy składać bezpośrednio za pośrednictwem Bazy Konkurencyjności pod adresem: https://bazakonkurencyjnosci.funduszeeuropejskie.gov.pl/ </w:t>
      </w:r>
      <w:r w:rsidR="003E6BA7"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terminie do</w:t>
      </w:r>
      <w:r w:rsidR="005D4DF6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dnia </w:t>
      </w:r>
      <w:r w:rsidR="00B256A9" w:rsidRPr="00B256A9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11.12.2025</w:t>
      </w:r>
      <w:r w:rsidR="00FF457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1B50F005" w14:textId="73304DE1" w:rsidR="00D909A3" w:rsidRPr="00FD4B91" w:rsidRDefault="003E6BA7" w:rsidP="003E6BA7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 datę złożenia oferty uznaje się datę wpływu oferty do Zamawiającego. Oferty złożone po terminie wskazanym w zapytaniu ofertowym nie będą rozpatrywane.</w:t>
      </w:r>
    </w:p>
    <w:p w14:paraId="354A1D92" w14:textId="77777777" w:rsidR="002D3A59" w:rsidRPr="00FD4B91" w:rsidRDefault="002D3A59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Kryteria oceny ofert</w:t>
      </w:r>
    </w:p>
    <w:p w14:paraId="775D2FA5" w14:textId="77777777" w:rsidR="00E55D21" w:rsidRPr="00FD4B91" w:rsidRDefault="00E55D21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wybierze najkorzystniejszą ofertę spełniającą warunki określone w zapytaniu ofertowym. </w:t>
      </w:r>
    </w:p>
    <w:p w14:paraId="4CF9C354" w14:textId="77777777" w:rsidR="00894F41" w:rsidRDefault="00E55D21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 wyborze oferty zamawiający będzie się kie</w:t>
      </w:r>
      <w:r w:rsidR="00D909A3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rował następującymi kryteriami:</w:t>
      </w:r>
    </w:p>
    <w:p w14:paraId="123B9A91" w14:textId="77777777" w:rsidR="00B256A9" w:rsidRDefault="00B256A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4B693E33" w14:textId="77777777" w:rsidR="00B256A9" w:rsidRDefault="00B256A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287FC69D" w14:textId="77777777" w:rsidR="00B256A9" w:rsidRDefault="00B256A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393"/>
        <w:gridCol w:w="1460"/>
        <w:gridCol w:w="5397"/>
      </w:tblGrid>
      <w:tr w:rsidR="002D3A59" w:rsidRPr="00FD4B91" w14:paraId="5B17CF83" w14:textId="77777777" w:rsidTr="0085625A">
        <w:trPr>
          <w:jc w:val="right"/>
        </w:trPr>
        <w:tc>
          <w:tcPr>
            <w:tcW w:w="531" w:type="dxa"/>
            <w:shd w:val="pct10" w:color="auto" w:fill="auto"/>
            <w:vAlign w:val="center"/>
          </w:tcPr>
          <w:p w14:paraId="24C7470F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393" w:type="dxa"/>
            <w:shd w:val="pct10" w:color="auto" w:fill="auto"/>
            <w:vAlign w:val="center"/>
          </w:tcPr>
          <w:p w14:paraId="0BFDC040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Nazwa kryterium</w:t>
            </w:r>
          </w:p>
        </w:tc>
        <w:tc>
          <w:tcPr>
            <w:tcW w:w="1460" w:type="dxa"/>
            <w:shd w:val="pct10" w:color="auto" w:fill="auto"/>
            <w:vAlign w:val="center"/>
          </w:tcPr>
          <w:p w14:paraId="20C51AC3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Waga</w:t>
            </w:r>
          </w:p>
        </w:tc>
        <w:tc>
          <w:tcPr>
            <w:tcW w:w="5397" w:type="dxa"/>
            <w:shd w:val="pct10" w:color="auto" w:fill="auto"/>
            <w:vAlign w:val="center"/>
          </w:tcPr>
          <w:p w14:paraId="44A07791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Sposób przyznawania punktów</w:t>
            </w:r>
          </w:p>
        </w:tc>
      </w:tr>
      <w:tr w:rsidR="002D3A59" w:rsidRPr="00FD4B91" w14:paraId="2E280559" w14:textId="77777777" w:rsidTr="0085625A">
        <w:trPr>
          <w:trHeight w:val="684"/>
          <w:jc w:val="right"/>
        </w:trPr>
        <w:tc>
          <w:tcPr>
            <w:tcW w:w="531" w:type="dxa"/>
            <w:vAlign w:val="center"/>
          </w:tcPr>
          <w:p w14:paraId="3B80CCA0" w14:textId="77777777" w:rsidR="002D3A59" w:rsidRPr="00FD4B91" w:rsidRDefault="002D3A59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1.</w:t>
            </w:r>
          </w:p>
        </w:tc>
        <w:tc>
          <w:tcPr>
            <w:tcW w:w="2393" w:type="dxa"/>
            <w:vAlign w:val="center"/>
          </w:tcPr>
          <w:p w14:paraId="5736EF83" w14:textId="77777777" w:rsidR="002D3A59" w:rsidRPr="00FD4B91" w:rsidRDefault="002D3A59" w:rsidP="00BC605C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Cena </w:t>
            </w:r>
            <w:r w:rsidR="00A02F4E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oferty </w:t>
            </w: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netto</w:t>
            </w:r>
          </w:p>
        </w:tc>
        <w:tc>
          <w:tcPr>
            <w:tcW w:w="1460" w:type="dxa"/>
            <w:vAlign w:val="center"/>
          </w:tcPr>
          <w:p w14:paraId="718F692D" w14:textId="5EBEB239" w:rsidR="002D3A59" w:rsidRPr="00FD4B91" w:rsidRDefault="00FF457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pacing w:val="-1"/>
                <w:w w:val="90"/>
                <w:sz w:val="24"/>
                <w:szCs w:val="24"/>
              </w:rPr>
              <w:t xml:space="preserve"> </w:t>
            </w:r>
            <w:r w:rsidR="0006391B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pkt</w:t>
            </w:r>
          </w:p>
        </w:tc>
        <w:tc>
          <w:tcPr>
            <w:tcW w:w="5397" w:type="dxa"/>
            <w:vAlign w:val="center"/>
          </w:tcPr>
          <w:p w14:paraId="25C2D577" w14:textId="77777777" w:rsidR="00A02F4E" w:rsidRPr="00FD4B91" w:rsidRDefault="001D14C4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02F4E" w:rsidRPr="00FD4B91">
              <w:rPr>
                <w:rFonts w:ascii="Times New Roman" w:hAnsi="Times New Roman" w:cs="Times New Roman"/>
                <w:sz w:val="24"/>
                <w:szCs w:val="24"/>
              </w:rPr>
              <w:t>cena na podstawie formularza ofertowego</w:t>
            </w:r>
          </w:p>
          <w:p w14:paraId="3E840248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86C01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     cena oferowana minimalna netto  </w:t>
            </w:r>
          </w:p>
          <w:p w14:paraId="00345921" w14:textId="352FE4AF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C  = ----------------------------------------------     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B256A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734BF6A4" w14:textId="77777777" w:rsidR="00A02F4E" w:rsidRPr="00FD4B91" w:rsidRDefault="00A02F4E" w:rsidP="00BC605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cena badanej oferty netto</w:t>
            </w:r>
          </w:p>
          <w:p w14:paraId="4441DF80" w14:textId="77777777" w:rsidR="002D3A59" w:rsidRPr="00FD4B91" w:rsidRDefault="002D3A59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BD" w:rsidRPr="00FD4B91" w14:paraId="1C027E51" w14:textId="77777777" w:rsidTr="0085625A">
        <w:trPr>
          <w:jc w:val="right"/>
        </w:trPr>
        <w:tc>
          <w:tcPr>
            <w:tcW w:w="531" w:type="dxa"/>
            <w:vAlign w:val="center"/>
          </w:tcPr>
          <w:p w14:paraId="5061E49F" w14:textId="77777777" w:rsidR="00C754BD" w:rsidRPr="00FD4B91" w:rsidRDefault="00C754BD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2.</w:t>
            </w:r>
          </w:p>
        </w:tc>
        <w:tc>
          <w:tcPr>
            <w:tcW w:w="2393" w:type="dxa"/>
            <w:vAlign w:val="center"/>
          </w:tcPr>
          <w:p w14:paraId="568C97EE" w14:textId="452F859D" w:rsidR="00C754BD" w:rsidRPr="00FD4B91" w:rsidRDefault="00894F41" w:rsidP="00166CF1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Okres gwarancji</w:t>
            </w:r>
            <w:r w:rsidR="008013AD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na kompletne urządzenia</w:t>
            </w:r>
          </w:p>
        </w:tc>
        <w:tc>
          <w:tcPr>
            <w:tcW w:w="1460" w:type="dxa"/>
            <w:vAlign w:val="center"/>
          </w:tcPr>
          <w:p w14:paraId="6AAD5C13" w14:textId="1BD437A0" w:rsidR="00C754BD" w:rsidRPr="00FD4B91" w:rsidRDefault="0006391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17B24435" w14:textId="77777777" w:rsidR="002224CD" w:rsidRPr="00FD4B91" w:rsidRDefault="002224CD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rzy czym punkty będą przyznawane w następujący sposób: </w:t>
            </w:r>
          </w:p>
          <w:p w14:paraId="2CEF7009" w14:textId="6AD5C412" w:rsidR="00DD23FC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04B93">
              <w:rPr>
                <w:rFonts w:ascii="Times New Roman" w:hAnsi="Times New Roman" w:cs="Times New Roman"/>
                <w:sz w:val="24"/>
                <w:szCs w:val="24"/>
              </w:rPr>
              <w:t>warancja 12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>- 0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  <w:p w14:paraId="78A9C762" w14:textId="797E60AE" w:rsidR="00DD23FC" w:rsidRDefault="002224CD" w:rsidP="0068509C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od 13 do </w:t>
            </w:r>
            <w:r w:rsidR="000639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373A902A" w14:textId="4A95E890" w:rsidR="008013AD" w:rsidRPr="008013AD" w:rsidRDefault="008013AD" w:rsidP="008013AD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gwarancja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2452EAB2" w14:textId="17A42AF6" w:rsidR="005D1671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 i powyżej 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</w:tc>
      </w:tr>
      <w:tr w:rsidR="00F65786" w:rsidRPr="00FD4B91" w14:paraId="514E610C" w14:textId="77777777" w:rsidTr="0085625A">
        <w:trPr>
          <w:jc w:val="right"/>
        </w:trPr>
        <w:tc>
          <w:tcPr>
            <w:tcW w:w="531" w:type="dxa"/>
            <w:vAlign w:val="center"/>
          </w:tcPr>
          <w:p w14:paraId="26B4A020" w14:textId="77777777" w:rsidR="00F65786" w:rsidRPr="00FD4B91" w:rsidRDefault="00F65786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3.</w:t>
            </w:r>
          </w:p>
        </w:tc>
        <w:tc>
          <w:tcPr>
            <w:tcW w:w="2393" w:type="dxa"/>
            <w:vAlign w:val="center"/>
          </w:tcPr>
          <w:p w14:paraId="7A6FB607" w14:textId="5DBB1F0F" w:rsidR="00F65786" w:rsidRPr="00FD4B91" w:rsidRDefault="00153919" w:rsidP="00104A67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1539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Zielone zamówienia - w ramach realizacji przedmiotu zamówienia –zostanie zastosowany co najmniej jeden materiał znajdujący się na Liście Zielonych Urządzeń i Materiałów publikowanej przez Instytut Ochrony Środowiska – Państwowy Instytut Badawczy (https://lista-zum.ios.edu.pl/).</w:t>
            </w:r>
          </w:p>
        </w:tc>
        <w:tc>
          <w:tcPr>
            <w:tcW w:w="1460" w:type="dxa"/>
            <w:vAlign w:val="center"/>
          </w:tcPr>
          <w:p w14:paraId="2AA7128C" w14:textId="15006E4B" w:rsidR="00F65786" w:rsidRPr="00FD4B91" w:rsidRDefault="00082739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74850AC3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 xml:space="preserve">Przy czym punkty będą przyznawane w następujący sposób: </w:t>
            </w:r>
          </w:p>
          <w:p w14:paraId="2EFAD8DF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5 pkt jeśli w formularzu ofertowym zadeklaruje (wybierze opcje „TAK”) – 5 pkt</w:t>
            </w:r>
          </w:p>
          <w:p w14:paraId="77715171" w14:textId="685EAA91" w:rsidR="00F65786" w:rsidRPr="00FD4B91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0 pkt jeśli w formularzu ofertowym nie zadeklaruje (wybierze opcje „NIE”)  –  0 pkt</w:t>
            </w:r>
          </w:p>
        </w:tc>
      </w:tr>
    </w:tbl>
    <w:p w14:paraId="3678AFA6" w14:textId="77777777" w:rsidR="004802CB" w:rsidRDefault="004802CB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319351C9" w14:textId="78497E21" w:rsidR="002D3A59" w:rsidRPr="00FD4B91" w:rsidRDefault="002D3A5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Maksymalna liczba punktów możliwych do uzyskania: 100 pkt.</w:t>
      </w:r>
    </w:p>
    <w:p w14:paraId="7BB547BC" w14:textId="77777777" w:rsidR="00DD23FC" w:rsidRPr="00FD4B91" w:rsidRDefault="00DD23FC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Minima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lny wymagany okres gwarancji: 12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miesięcy od daty 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bezusterkowego protokołu odbioru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748DEE94" w14:textId="77777777" w:rsidR="00E55D21" w:rsidRPr="00FD4B91" w:rsidRDefault="002D3A5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Uzyskane oceny zostaną zaokrąglone z dokładnością do dwóch miejsc po przecinku. </w:t>
      </w:r>
      <w:r w:rsidR="00E55D2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udzieli zamówienia wykonawcy, którego oferta spełni wszystkie warunki i wymagania oraz otrzyma największą liczbę punktów.</w:t>
      </w:r>
    </w:p>
    <w:p w14:paraId="0406AA91" w14:textId="77777777" w:rsidR="00BC605C" w:rsidRPr="00FD4B91" w:rsidRDefault="00264F60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podania wartości przedmiotu zamówienia w walucie obcej, przeliczanie na złote dokonane zostanie według średniego kursu NBP z dnia otwarcia ofert</w:t>
      </w:r>
      <w:r w:rsidR="006735E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0ECA2777" w14:textId="77777777" w:rsidR="00D909A3" w:rsidRPr="00FD4B91" w:rsidRDefault="00D909A3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7C58A8D7" w14:textId="77777777" w:rsidR="00E5602B" w:rsidRPr="00FD4B91" w:rsidRDefault="00E5602B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Informacja na temat zakresu wykluczenia</w:t>
      </w:r>
    </w:p>
    <w:p w14:paraId="158104AF" w14:textId="77777777" w:rsidR="00BA2BFD" w:rsidRPr="00BA2BFD" w:rsidRDefault="00BA2BFD" w:rsidP="0068509C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 udziału w postępowaniu wykluczone są podmioty powiązane osobowo lub kapitałowo z 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19D6DCA" w14:textId="77777777" w:rsidR="00BA2BFD" w:rsidRPr="00BA2BFD" w:rsidRDefault="00BA2BFD" w:rsidP="0068509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F89AB68" w14:textId="77777777" w:rsidR="00BA2BFD" w:rsidRPr="00BA2BFD" w:rsidRDefault="00BA2BFD" w:rsidP="0068509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1AA7E" w14:textId="77777777" w:rsidR="00BA2BFD" w:rsidRPr="00BA2BFD" w:rsidRDefault="00BA2BFD" w:rsidP="0068509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C768B52" w14:textId="3EF409BD" w:rsidR="00BA2BFD" w:rsidRPr="00685724" w:rsidRDefault="00BA2BFD" w:rsidP="0068509C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85724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1ACBCA0B" w14:textId="77777777" w:rsidR="00BA2BFD" w:rsidRPr="00BA2BFD" w:rsidRDefault="00BA2BFD" w:rsidP="005A33F7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Rozporządzenie 2022/576 ma zasięg ogólny i obowiązuje bezpośrednio we wszystkich państwach członkowskich.</w:t>
      </w:r>
    </w:p>
    <w:p w14:paraId="1712C836" w14:textId="77777777" w:rsidR="00BA2BFD" w:rsidRPr="00BA2BFD" w:rsidRDefault="00BA2BFD" w:rsidP="005A33F7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46978CA5" w14:textId="77777777" w:rsidR="00BA2BFD" w:rsidRPr="00BA2BFD" w:rsidRDefault="00BA2BFD" w:rsidP="005A33F7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EFB654A" w14:textId="77777777" w:rsidR="00BA2BFD" w:rsidRPr="00BA2BFD" w:rsidRDefault="00BA2BFD" w:rsidP="00916EA7">
      <w:pPr>
        <w:shd w:val="clear" w:color="auto" w:fill="FFFFFF"/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a. obywateli rosyjskich lub osób fizycznych lub prawnych, podmiotów lub organów z siedzibą w Rosji;</w:t>
      </w:r>
    </w:p>
    <w:p w14:paraId="4D69AF6F" w14:textId="77777777" w:rsidR="00BA2BFD" w:rsidRPr="00BA2BFD" w:rsidRDefault="00BA2BFD" w:rsidP="00916EA7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b. osób prawnych, podmiotów lub organów, do których prawa własności bezpośrednio lub pośrednio w ponad 50 % należą do podmiotu, o którym mowa w lit. a) niniejszego ustępu; lub</w:t>
      </w:r>
    </w:p>
    <w:p w14:paraId="3486CE1F" w14:textId="39FD875F" w:rsidR="00BA2BFD" w:rsidRPr="00BA2BFD" w:rsidRDefault="00BA2BFD" w:rsidP="001728C1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c. osób fizycznych lub prawnych, podmiotów lub organów działających w imieniu lub pod kierunkiem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podmiotu, o którym mowa w lit. a) lub b) niniejszego ustępu,</w:t>
      </w:r>
      <w:r w:rsidR="001728C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29E4152" w14:textId="77777777" w:rsidR="00BA2BFD" w:rsidRPr="00BA2BFD" w:rsidRDefault="00BA2BFD" w:rsidP="006E48AE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Weryfikacja braku wykluczenia z postępowania na podstawie oświadczenia znajdującego się w formularzu ofertowym (załącznik nr 1).</w:t>
      </w:r>
    </w:p>
    <w:p w14:paraId="7C3CBA41" w14:textId="2A9CEC57" w:rsidR="00BA2BFD" w:rsidRPr="006E48AE" w:rsidRDefault="00BA2BFD" w:rsidP="0068509C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E48A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Zgodnie z art. 1 pkt 3 ustawy 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niniejszego zamówienia publicznego.</w:t>
      </w:r>
    </w:p>
    <w:p w14:paraId="40C25D27" w14:textId="77777777" w:rsidR="00BA2BFD" w:rsidRPr="00BA2BFD" w:rsidRDefault="00BA2BFD" w:rsidP="0012349A">
      <w:pPr>
        <w:shd w:val="clear" w:color="auto" w:fill="FFFFFF"/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podstawie art. 7 ust. 1 ustawy z niniejszego postępowania o udzielenie zamówienia wyklucza się:</w:t>
      </w:r>
    </w:p>
    <w:p w14:paraId="7B7C7FA6" w14:textId="77777777" w:rsidR="00BA2BFD" w:rsidRPr="00BA2BFD" w:rsidRDefault="00BA2BFD" w:rsidP="0012349A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3A0561" w14:textId="77777777" w:rsidR="00BA2BFD" w:rsidRPr="00BA2BFD" w:rsidRDefault="00BA2BFD" w:rsidP="0012349A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ED40AB" w14:textId="77777777" w:rsidR="00BA2BFD" w:rsidRPr="00BA2BFD" w:rsidRDefault="00BA2BFD" w:rsidP="0012349A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2920143B" w14:textId="7B519DFC" w:rsidR="00E5602B" w:rsidRPr="00FD4B91" w:rsidRDefault="00BA2BFD" w:rsidP="007E0FB8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Weryfikacja braku wykluczenia z postępowania na podstawie oświadczenia znajdującego się w formularzu ofertowym (załącznik nr 1).</w:t>
      </w:r>
    </w:p>
    <w:p w14:paraId="4579C116" w14:textId="77777777" w:rsidR="00605BA1" w:rsidRPr="00605BA1" w:rsidRDefault="00605BA1" w:rsidP="0068509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605BA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Rażąco niska cena</w:t>
      </w:r>
    </w:p>
    <w:p w14:paraId="5ECB5275" w14:textId="001D1797" w:rsidR="009321FB" w:rsidRPr="009321FB" w:rsidRDefault="009321FB" w:rsidP="00FC0160">
      <w:pPr>
        <w:shd w:val="clear" w:color="auto" w:fill="FFFFFF"/>
        <w:spacing w:line="360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</w:t>
      </w: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lastRenderedPageBreak/>
        <w:t xml:space="preserve">dowodów w zakresie wyliczenia ceny lub kosztu. Zamawiający ocenia te wyjaśnienia w konsultacji z wykonawcą i może odrzucić tę ofertę wyłącznie w przypadku, gdy złożone wyjaśnienia wraz z dowodami nie uzasadniają podanej ceny lub kosztu w tej ofercie. </w:t>
      </w:r>
    </w:p>
    <w:p w14:paraId="6DB1296C" w14:textId="39273722" w:rsidR="005166AE" w:rsidRPr="009321FB" w:rsidRDefault="009321FB" w:rsidP="00FC0160">
      <w:pPr>
        <w:shd w:val="clear" w:color="auto" w:fill="FFFFFF"/>
        <w:spacing w:line="360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Obowiązek wykazania, że oferta nie zawiera rażąco niskiej ceny, spoczywa na wykonawcy. Zamawiający odrzuca ofertę wykonawcy, który nie złożył wyjaśnień lub jeżeli dokonana ocena wyjaśnień wraz z dostarczonymi dowodami potwierdza, że oferta zawiera rażąco niską cenę lub koszt w stosunku do przedmiotu zamówienia.</w:t>
      </w:r>
    </w:p>
    <w:p w14:paraId="0F51EEAF" w14:textId="146E7CA9" w:rsidR="00E5602B" w:rsidRPr="00FD4B91" w:rsidRDefault="00E5602B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Warunki zmian umowy </w:t>
      </w:r>
    </w:p>
    <w:p w14:paraId="0705CB3C" w14:textId="77777777" w:rsidR="00056A5A" w:rsidRPr="00056A5A" w:rsidRDefault="00056A5A" w:rsidP="001A2D54">
      <w:pPr>
        <w:pStyle w:val="Tekstpodstawowy3"/>
        <w:widowControl/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Inwestor/Zamawiający przewiduje możliwość zmian postanowień zawartej umowy w przypadku pojawienia się nadzwyczajnych okoliczności w stosunku do treści oferty, na podstawie której dokonano wyboru Wykonawcy, w przypadku wystąpienia, co najmniej jednej z okoliczności wymienionych poniżej, z uwzględnieniem podawanych warunków ich wprowadzenia.</w:t>
      </w:r>
    </w:p>
    <w:p w14:paraId="04527B24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terminu realizacji przedmiotu umowy; </w:t>
      </w:r>
    </w:p>
    <w:p w14:paraId="6B4ACC59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zmiany spowodowane warunkami atmosferycznymi, geologicznymi, w szczególności: klęski żywiołowe, warunki atmosferyczne uniemożliwiające prowadzenie robót budowlanych, przeprowadzanie prób i sprawdzeń, dokonywanie odbiorów, niewypały i niewybuchy, odmienne od przyjętych w dokumentacji warunki terenowe, w szczególności istnienie oraz stan techniczny podziemnych sieci, instalacji, urządzeń;</w:t>
      </w:r>
    </w:p>
    <w:p w14:paraId="2F8E5BFB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zmiany będące następstwem działania organów administracji, w szczególności: przekroczenie zakreślonych przez prawo terminów wydawania przez organy administracji decyzji, zezwoleń, uzgodnień itp., odmowa wydania przez organy administracji wymaganych decyzji, zezwoleń; </w:t>
      </w:r>
    </w:p>
    <w:p w14:paraId="036B8A86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inne przyczyny zewnętrzne niezależne od Inwestora/Zamawiającego oraz Wykonawcy skutkujące niemożliwością prowadzenia prac, a w szczególności brak możliwości dojazdu oraz transportu materiałów na teren robót spowodowany awariami, remontami, przebudowami dróg dojazdowych oraz protestami mieszkańców.</w:t>
      </w:r>
    </w:p>
    <w:p w14:paraId="4FADDE17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sposobu spełnienia świadczenia - zmiany technologiczne, w szczególności: </w:t>
      </w:r>
    </w:p>
    <w:p w14:paraId="5C2E0706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niedostępność na rynku materiałów lub urządzeń wskazanych w dokumentacji spowodowana zaprzestaniem produkcji lub wycofaniem z rynku tych materiałów lub urządzeń; </w:t>
      </w:r>
    </w:p>
    <w:p w14:paraId="6CD055E2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na rynku materiałów lub urządzeń nowszej generacji pozwalających na zaoszczędzenie kosztów realizacji przedmiotu umowy lub kosztów eksploatacji wykonanego przedmiotu umowy; </w:t>
      </w:r>
    </w:p>
    <w:p w14:paraId="0F7B9DBD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nowszej technologii wykonania zaprojektowanych robót pozwalającej na zaoszczędzenie czasu realizacji inwestycji lub kosztów wykonywanych prac, jak również kosztów eksploatacji wykonanego przedmiotu umowy; </w:t>
      </w:r>
    </w:p>
    <w:p w14:paraId="3A9C140C" w14:textId="77777777" w:rsidR="00505515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technicznych/technologicznych lub materiałowych niż wskazane w dokumentacji, w sytuacji, gdyby zastosowanie przewidzianych rozwiązań groziło niewykonaniem lub wadliwym wykonaniem robót, </w:t>
      </w:r>
      <w:r w:rsid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2035E7F9" w14:textId="7FD21C7E" w:rsidR="00056A5A" w:rsidRPr="00302CE0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 lub materiałowych ze względu na zmiany obowiązującego prawa. </w:t>
      </w:r>
    </w:p>
    <w:p w14:paraId="4F10F72D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Siła wyższa, przy czym za działanie o charakterze siły wyższej uznaje się również skutki spowodowane przez pandemię COVID’19.</w:t>
      </w:r>
    </w:p>
    <w:p w14:paraId="58E74A45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Pozostałe zmiany: </w:t>
      </w:r>
    </w:p>
    <w:p w14:paraId="3C191980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zmiana sposobu rozliczania umowy lub dokonywania płatności na rzecz Generalnego Wykonawcy, np. na skutek zmian zawartej przez Inwestora/Zamawiającego umowy o dofinansowanie projektu lub wytycznych dotyczących realizacji projektu.</w:t>
      </w:r>
    </w:p>
    <w:p w14:paraId="29F41493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projektu przy zastosowaniu innych rozwiązań technicznych/technologicznych lub materiałowych niż wskazane w dokumentacji projektowej, w sytuacji, gdyby zastosowanie przewidzianych rozwiązań groziło niewykonaniem lub wadliwym wykonaniem projektu; </w:t>
      </w:r>
    </w:p>
    <w:p w14:paraId="13C61369" w14:textId="77777777" w:rsidR="00056A5A" w:rsidRPr="00056A5A" w:rsidRDefault="00056A5A" w:rsidP="0068509C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każdym przypadku, gdy zmiana jest korzystna dla Inwestora/Zamawiającego (np. powoduje skrócenie terminu realizacji umowy, zmniejszenia wartości zamówienia).</w:t>
      </w:r>
    </w:p>
    <w:p w14:paraId="1FB21E94" w14:textId="7B44A64D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Zmiany postanowień zawartej umowy wymagają dla swej ważności formy pisemnej w postaci aneksu podpisanego przez obie strony.</w:t>
      </w:r>
    </w:p>
    <w:p w14:paraId="0F4BD58E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Inwestor/Zamawiający zastrzega sobie prawo do przeprowadzenia negocjacji w celu zmniejszenia ceny zawartej umowy, zmiany warunków płatności oraz zmiany terminów realizacji zamówienia. Dopuszcza możliwość wprowadzenia drobnych zmian w zakresie zamówienia niemających wpływu na wartość zawartej umowy.</w:t>
      </w:r>
    </w:p>
    <w:p w14:paraId="6B4C6E7E" w14:textId="77777777" w:rsidR="00056A5A" w:rsidRPr="00056A5A" w:rsidRDefault="00056A5A" w:rsidP="0068509C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postanowień zawartej umowy może nastąpić za zgodą obu stron, wyrażoną na piśmie pod rygorem nieważności w formie aneksu. </w:t>
      </w:r>
    </w:p>
    <w:p w14:paraId="2C483614" w14:textId="07401A42" w:rsidR="0001691A" w:rsidRPr="0001691A" w:rsidRDefault="0001691A" w:rsidP="007D0FCA">
      <w:pPr>
        <w:pStyle w:val="Tekstpodstawowy3"/>
        <w:widowControl/>
        <w:autoSpaceDE/>
        <w:autoSpaceDN/>
        <w:adjustRightInd/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81FF539" w14:textId="77777777" w:rsidR="00FB0AF3" w:rsidRPr="00FD4B91" w:rsidRDefault="00FB0AF3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Miejsce i termin otwarcia ofert</w:t>
      </w:r>
    </w:p>
    <w:p w14:paraId="2D0F7116" w14:textId="5D71D373" w:rsidR="00FB0AF3" w:rsidRDefault="00FB0AF3" w:rsidP="0042420E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Otwarcie ofert nastąpi dnia </w:t>
      </w:r>
      <w:r w:rsidR="001D1EBD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12.12.2025</w:t>
      </w:r>
      <w:r w:rsidR="0085625A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 xml:space="preserve"> </w:t>
      </w:r>
      <w:r w:rsidRPr="00FD4B9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r.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siedzibie Zamawiającego. Zamawiający nie przewiduje publicznego otwarcia ofert.</w:t>
      </w:r>
    </w:p>
    <w:p w14:paraId="1BF7461D" w14:textId="77777777" w:rsidR="004802CB" w:rsidRPr="00FD4B91" w:rsidRDefault="004802CB" w:rsidP="0042420E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AB356F5" w14:textId="77777777" w:rsidR="0006442F" w:rsidRPr="00FD4B91" w:rsidRDefault="00FB0AF3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Pozostałe informacje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7D1BD68F" w14:textId="77777777" w:rsidR="00E760EC" w:rsidRPr="00FD4B91" w:rsidRDefault="00FB0AF3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Osoba uprawniona do kontaktu z Wykonawcami i udzielania wyjaśnień dotyczących postępowania: </w:t>
      </w:r>
    </w:p>
    <w:p w14:paraId="300318D2" w14:textId="60B46CF7" w:rsidR="00FB0AF3" w:rsidRPr="00FD4B91" w:rsidRDefault="004D0EF8" w:rsidP="0042420E">
      <w:pPr>
        <w:shd w:val="clear" w:color="auto" w:fill="FFFFFF"/>
        <w:spacing w:line="360" w:lineRule="auto"/>
        <w:ind w:left="567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4D0EF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Krzysztof Zimoch  tel.: +48 600 421 044, e-mail: drum@drum.com.pl</w:t>
      </w:r>
      <w:r w:rsidR="005D12B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.</w:t>
      </w:r>
    </w:p>
    <w:p w14:paraId="01DC0749" w14:textId="77777777" w:rsidR="00633A9E" w:rsidRPr="00FD4B91" w:rsidRDefault="00633A9E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Poprzez złożenie oferty Oferent wyraża zgodę na podanie do wiadomości pozostałych Oferentów szczegółów oferty. Oferent ma prawo nie wyrazić zgody na podanie do wiadomości szczegółów technicznych przedmiotu zamówienia.</w:t>
      </w:r>
    </w:p>
    <w:p w14:paraId="71102A92" w14:textId="77777777" w:rsidR="004B40E0" w:rsidRPr="00FD4B91" w:rsidRDefault="004B40E0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Złożenie oferty nie stanowi zawarcia umowy.</w:t>
      </w:r>
    </w:p>
    <w:p w14:paraId="143E25F2" w14:textId="77777777" w:rsidR="0006442F" w:rsidRPr="00FD4B91" w:rsidRDefault="0006442F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Oferty, które nie spełniają wymagań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określonych w zapytaniu ofertowym nie będą rozpatrywane.</w:t>
      </w:r>
    </w:p>
    <w:p w14:paraId="2F42658B" w14:textId="77777777" w:rsidR="0006442F" w:rsidRPr="00FD4B91" w:rsidRDefault="0006442F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zastrzega sobie możliwość do przeprowadzenia negocjacji z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oferentami, w celu doprowadzenia do polepszenia warunków zamówienia, głównie ceny.</w:t>
      </w:r>
    </w:p>
    <w:p w14:paraId="213E5AEB" w14:textId="77777777" w:rsidR="0006442F" w:rsidRDefault="00F278D2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nie dopuszcza składania ofert częściowych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313BD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nie dopuszcza składania ofert  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wariantowych. 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fert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y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częściow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e lub wariantowe nie będą brane pod uwagę.</w:t>
      </w:r>
    </w:p>
    <w:p w14:paraId="599E5B8E" w14:textId="7075FE56" w:rsidR="004141F7" w:rsidRPr="004141F7" w:rsidRDefault="004141F7" w:rsidP="0068509C">
      <w:pPr>
        <w:pStyle w:val="Akapitzlist"/>
        <w:numPr>
          <w:ilvl w:val="1"/>
          <w:numId w:val="1"/>
        </w:numPr>
        <w:ind w:left="641" w:hanging="357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4141F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dopuszcza możliwości powierzenia części lub całości zamówienia podwykonawcom.</w:t>
      </w:r>
    </w:p>
    <w:p w14:paraId="70329F8B" w14:textId="77777777" w:rsidR="003A1239" w:rsidRDefault="0006442F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Zamawiający zastrzega sobie możliwość unieważnienia zapytania ofertowego na każdym etapie prowadzonego postępowania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i nie wybrania żadnej z przedstawionych ofert bez podania przyczyny. W przypadku zaistnienia powyższych okoliczności Oferentom nie przysługują żadne roszczenia w stosunku do Zamawiającego.</w:t>
      </w:r>
    </w:p>
    <w:p w14:paraId="54C20DC8" w14:textId="4F6BB838" w:rsidR="00DD5E42" w:rsidRPr="00DD5E42" w:rsidRDefault="00DD5E42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DD5E4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razie wątpliwości w toku badania i oceny ofert Zamawiający może żądać od Oferentów dodatkowych dokumentów lub wyjaśnień dotyczących treści złożonych ofert</w:t>
      </w:r>
    </w:p>
    <w:p w14:paraId="611F7DD9" w14:textId="77777777" w:rsidR="00633A9E" w:rsidRPr="00FD4B91" w:rsidRDefault="00633A9E" w:rsidP="0068509C">
      <w:pPr>
        <w:numPr>
          <w:ilvl w:val="1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Postępowanie 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nie jest prowadzone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w oparciu o ustawę z dnia 29 stycznia 2004r. – Prawo Zamówień Publicznych, dlatego nie jest możliwe stosowanie środków odwoławczych określonych w tej ustawie.</w:t>
      </w:r>
    </w:p>
    <w:p w14:paraId="418CC7EC" w14:textId="77777777" w:rsidR="00946FB0" w:rsidRPr="00FD4B91" w:rsidRDefault="00946FB0" w:rsidP="0042420E">
      <w:pPr>
        <w:pStyle w:val="Tekstpodstawowy"/>
        <w:spacing w:after="0" w:line="360" w:lineRule="auto"/>
        <w:ind w:left="284"/>
        <w:rPr>
          <w:color w:val="000000"/>
          <w:spacing w:val="-1"/>
          <w:w w:val="90"/>
        </w:rPr>
      </w:pPr>
      <w:r w:rsidRPr="00FD4B91">
        <w:rPr>
          <w:color w:val="000000"/>
          <w:spacing w:val="-1"/>
          <w:w w:val="90"/>
        </w:rPr>
        <w:t>Załącznikami do niniejszego dokumentu są: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7882"/>
      </w:tblGrid>
      <w:tr w:rsidR="00946FB0" w:rsidRPr="00FD4B91" w14:paraId="67454324" w14:textId="77777777" w:rsidTr="00AF18C7">
        <w:trPr>
          <w:trHeight w:val="32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8F03" w14:textId="77777777" w:rsidR="00946FB0" w:rsidRPr="00FD4B91" w:rsidRDefault="00946FB0" w:rsidP="0042420E">
            <w:pPr>
              <w:pStyle w:val="Tekstpodstawowy"/>
              <w:spacing w:after="0" w:line="360" w:lineRule="auto"/>
              <w:ind w:left="-395" w:firstLine="395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Nr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3D9C" w14:textId="77777777" w:rsidR="00946FB0" w:rsidRPr="00FD4B91" w:rsidRDefault="00946FB0" w:rsidP="002577DA">
            <w:pPr>
              <w:pStyle w:val="Tekstpodstawowy"/>
              <w:spacing w:after="0" w:line="360" w:lineRule="auto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Nazwa załącznika:</w:t>
            </w:r>
          </w:p>
        </w:tc>
      </w:tr>
      <w:tr w:rsidR="00946FB0" w:rsidRPr="00FD4B91" w14:paraId="28782D91" w14:textId="77777777" w:rsidTr="00AF18C7">
        <w:trPr>
          <w:trHeight w:val="33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A221" w14:textId="77777777" w:rsidR="00946FB0" w:rsidRPr="00FD4B91" w:rsidRDefault="00946FB0" w:rsidP="002577DA">
            <w:pPr>
              <w:pStyle w:val="Tekstpodstawowy"/>
              <w:spacing w:after="0" w:line="360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1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4F6" w14:textId="7684DFE0" w:rsidR="001C3844" w:rsidRPr="00FD4B91" w:rsidRDefault="006735ED" w:rsidP="002577DA">
            <w:pPr>
              <w:pStyle w:val="Tekstpodstawowy"/>
              <w:spacing w:after="0" w:line="360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F</w:t>
            </w:r>
            <w:r w:rsidR="00946FB0" w:rsidRPr="00FD4B91">
              <w:rPr>
                <w:color w:val="000000"/>
                <w:spacing w:val="-1"/>
                <w:w w:val="90"/>
              </w:rPr>
              <w:t>ormularz ofertowy</w:t>
            </w:r>
            <w:r w:rsidR="00BB5BF7">
              <w:rPr>
                <w:color w:val="000000"/>
                <w:spacing w:val="-1"/>
                <w:w w:val="90"/>
              </w:rPr>
              <w:t xml:space="preserve"> </w:t>
            </w:r>
          </w:p>
        </w:tc>
      </w:tr>
    </w:tbl>
    <w:p w14:paraId="272661B4" w14:textId="77777777" w:rsidR="00D82FBE" w:rsidRPr="00FD4B91" w:rsidRDefault="00D82FBE" w:rsidP="006846F1">
      <w:pPr>
        <w:ind w:right="850"/>
        <w:jc w:val="right"/>
        <w:rPr>
          <w:rFonts w:ascii="Times New Roman" w:hAnsi="Times New Roman" w:cs="Times New Roman"/>
          <w:sz w:val="24"/>
          <w:szCs w:val="24"/>
        </w:rPr>
      </w:pPr>
    </w:p>
    <w:p w14:paraId="067EED51" w14:textId="77777777" w:rsidR="00D82FBE" w:rsidRPr="00FD4B91" w:rsidRDefault="00D82FBE" w:rsidP="00D82FBE">
      <w:pPr>
        <w:ind w:right="850"/>
        <w:rPr>
          <w:rFonts w:ascii="Times New Roman" w:hAnsi="Times New Roman" w:cs="Times New Roman"/>
          <w:sz w:val="24"/>
          <w:szCs w:val="24"/>
        </w:rPr>
      </w:pPr>
    </w:p>
    <w:sectPr w:rsidR="00D82FBE" w:rsidRPr="00FD4B91" w:rsidSect="00F3368C">
      <w:headerReference w:type="default" r:id="rId9"/>
      <w:pgSz w:w="11906" w:h="16838" w:code="9"/>
      <w:pgMar w:top="1531" w:right="1134" w:bottom="153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6F61" w14:textId="77777777" w:rsidR="0023305E" w:rsidRDefault="0023305E" w:rsidP="00D30976">
      <w:r>
        <w:separator/>
      </w:r>
    </w:p>
  </w:endnote>
  <w:endnote w:type="continuationSeparator" w:id="0">
    <w:p w14:paraId="03E1B1BB" w14:textId="77777777" w:rsidR="0023305E" w:rsidRDefault="0023305E" w:rsidP="00D3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0C3FC" w14:textId="77777777" w:rsidR="0023305E" w:rsidRDefault="0023305E" w:rsidP="00D30976">
      <w:r>
        <w:separator/>
      </w:r>
    </w:p>
  </w:footnote>
  <w:footnote w:type="continuationSeparator" w:id="0">
    <w:p w14:paraId="61B9FC51" w14:textId="77777777" w:rsidR="0023305E" w:rsidRDefault="0023305E" w:rsidP="00D3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05F6" w14:textId="071C419C" w:rsidR="004D4F05" w:rsidRDefault="000C48B2" w:rsidP="003A02E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620DC2C1" wp14:editId="26B0C5B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" w15:restartNumberingAfterBreak="0">
    <w:nsid w:val="0CE31801"/>
    <w:multiLevelType w:val="hybridMultilevel"/>
    <w:tmpl w:val="3E6C10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D4D37DB"/>
    <w:multiLevelType w:val="hybridMultilevel"/>
    <w:tmpl w:val="7D64D3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E3197E"/>
    <w:multiLevelType w:val="multilevel"/>
    <w:tmpl w:val="31026834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AE2B3A"/>
    <w:multiLevelType w:val="hybridMultilevel"/>
    <w:tmpl w:val="F802E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F121A"/>
    <w:multiLevelType w:val="multilevel"/>
    <w:tmpl w:val="FFE81CA4"/>
    <w:styleLink w:val="Styl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54C5C"/>
    <w:multiLevelType w:val="hybridMultilevel"/>
    <w:tmpl w:val="78EC83B4"/>
    <w:lvl w:ilvl="0" w:tplc="0415000F">
      <w:start w:val="1"/>
      <w:numFmt w:val="decimal"/>
      <w:lvlText w:val="%1."/>
      <w:lvlJc w:val="left"/>
      <w:pPr>
        <w:tabs>
          <w:tab w:val="num" w:pos="2094"/>
        </w:tabs>
        <w:ind w:left="20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42B18"/>
    <w:multiLevelType w:val="multilevel"/>
    <w:tmpl w:val="11E866D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E36E81"/>
    <w:multiLevelType w:val="multilevel"/>
    <w:tmpl w:val="28C6854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D70141"/>
    <w:multiLevelType w:val="hybridMultilevel"/>
    <w:tmpl w:val="70E22E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11A2BB2"/>
    <w:multiLevelType w:val="hybridMultilevel"/>
    <w:tmpl w:val="1E80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202FE"/>
    <w:multiLevelType w:val="multilevel"/>
    <w:tmpl w:val="50EE463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45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3B8B"/>
    <w:multiLevelType w:val="multilevel"/>
    <w:tmpl w:val="86F004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5110595">
    <w:abstractNumId w:val="11"/>
  </w:num>
  <w:num w:numId="2" w16cid:durableId="1318265302">
    <w:abstractNumId w:val="5"/>
  </w:num>
  <w:num w:numId="3" w16cid:durableId="2131120226">
    <w:abstractNumId w:val="1"/>
  </w:num>
  <w:num w:numId="4" w16cid:durableId="473453902">
    <w:abstractNumId w:val="3"/>
  </w:num>
  <w:num w:numId="5" w16cid:durableId="182326857">
    <w:abstractNumId w:val="12"/>
  </w:num>
  <w:num w:numId="6" w16cid:durableId="315915945">
    <w:abstractNumId w:val="10"/>
  </w:num>
  <w:num w:numId="7" w16cid:durableId="1620523440">
    <w:abstractNumId w:val="9"/>
  </w:num>
  <w:num w:numId="8" w16cid:durableId="2110932789">
    <w:abstractNumId w:val="6"/>
  </w:num>
  <w:num w:numId="9" w16cid:durableId="378094310">
    <w:abstractNumId w:val="4"/>
  </w:num>
  <w:num w:numId="10" w16cid:durableId="1840264726">
    <w:abstractNumId w:val="7"/>
  </w:num>
  <w:num w:numId="11" w16cid:durableId="781657161">
    <w:abstractNumId w:val="8"/>
  </w:num>
  <w:num w:numId="12" w16cid:durableId="167395175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76"/>
    <w:rsid w:val="000014BC"/>
    <w:rsid w:val="000158B2"/>
    <w:rsid w:val="0001691A"/>
    <w:rsid w:val="00024AE9"/>
    <w:rsid w:val="00025DA8"/>
    <w:rsid w:val="00032DC9"/>
    <w:rsid w:val="000339E1"/>
    <w:rsid w:val="0005615F"/>
    <w:rsid w:val="00056A5A"/>
    <w:rsid w:val="00060493"/>
    <w:rsid w:val="0006391B"/>
    <w:rsid w:val="0006442F"/>
    <w:rsid w:val="00082739"/>
    <w:rsid w:val="00090CCE"/>
    <w:rsid w:val="00093CF8"/>
    <w:rsid w:val="000A2245"/>
    <w:rsid w:val="000B5DBD"/>
    <w:rsid w:val="000B7D63"/>
    <w:rsid w:val="000C0A9B"/>
    <w:rsid w:val="000C48B2"/>
    <w:rsid w:val="000C7184"/>
    <w:rsid w:val="000D4A2B"/>
    <w:rsid w:val="000D4AEF"/>
    <w:rsid w:val="000D6FB1"/>
    <w:rsid w:val="000E0DAE"/>
    <w:rsid w:val="000E1E6B"/>
    <w:rsid w:val="000F04A7"/>
    <w:rsid w:val="000F3A18"/>
    <w:rsid w:val="000F745E"/>
    <w:rsid w:val="00100CE2"/>
    <w:rsid w:val="00102263"/>
    <w:rsid w:val="00104A67"/>
    <w:rsid w:val="00104B93"/>
    <w:rsid w:val="001051BB"/>
    <w:rsid w:val="001055E5"/>
    <w:rsid w:val="00106E75"/>
    <w:rsid w:val="001072E2"/>
    <w:rsid w:val="00111184"/>
    <w:rsid w:val="0012349A"/>
    <w:rsid w:val="00125D6C"/>
    <w:rsid w:val="00136B6E"/>
    <w:rsid w:val="00153728"/>
    <w:rsid w:val="00153919"/>
    <w:rsid w:val="001552AD"/>
    <w:rsid w:val="001559D0"/>
    <w:rsid w:val="001569DB"/>
    <w:rsid w:val="00166CF1"/>
    <w:rsid w:val="001705B7"/>
    <w:rsid w:val="001728C1"/>
    <w:rsid w:val="0017591A"/>
    <w:rsid w:val="00175BC1"/>
    <w:rsid w:val="001841A6"/>
    <w:rsid w:val="00184283"/>
    <w:rsid w:val="001867E7"/>
    <w:rsid w:val="00195775"/>
    <w:rsid w:val="001A2D54"/>
    <w:rsid w:val="001B68DC"/>
    <w:rsid w:val="001B7A22"/>
    <w:rsid w:val="001C3844"/>
    <w:rsid w:val="001D14C4"/>
    <w:rsid w:val="001D1EBD"/>
    <w:rsid w:val="001D6124"/>
    <w:rsid w:val="00201FC9"/>
    <w:rsid w:val="00205304"/>
    <w:rsid w:val="0021341D"/>
    <w:rsid w:val="002224CD"/>
    <w:rsid w:val="002227A7"/>
    <w:rsid w:val="002239C1"/>
    <w:rsid w:val="00224D94"/>
    <w:rsid w:val="00226D2E"/>
    <w:rsid w:val="0023305E"/>
    <w:rsid w:val="0023752F"/>
    <w:rsid w:val="00240E6A"/>
    <w:rsid w:val="00245C76"/>
    <w:rsid w:val="002513AA"/>
    <w:rsid w:val="00255C65"/>
    <w:rsid w:val="002577DA"/>
    <w:rsid w:val="0026238D"/>
    <w:rsid w:val="00262BE8"/>
    <w:rsid w:val="00263988"/>
    <w:rsid w:val="00264F60"/>
    <w:rsid w:val="00267AEB"/>
    <w:rsid w:val="00277D3D"/>
    <w:rsid w:val="00297752"/>
    <w:rsid w:val="002A4C6A"/>
    <w:rsid w:val="002A630E"/>
    <w:rsid w:val="002A6535"/>
    <w:rsid w:val="002A78C3"/>
    <w:rsid w:val="002C1B2C"/>
    <w:rsid w:val="002C4F72"/>
    <w:rsid w:val="002D3A59"/>
    <w:rsid w:val="002D6BFC"/>
    <w:rsid w:val="002F639F"/>
    <w:rsid w:val="00302CE0"/>
    <w:rsid w:val="00303578"/>
    <w:rsid w:val="0030595E"/>
    <w:rsid w:val="0031043E"/>
    <w:rsid w:val="003112C9"/>
    <w:rsid w:val="00313BD4"/>
    <w:rsid w:val="0031548C"/>
    <w:rsid w:val="00323F2D"/>
    <w:rsid w:val="003334DE"/>
    <w:rsid w:val="00335048"/>
    <w:rsid w:val="003410A6"/>
    <w:rsid w:val="00343CC8"/>
    <w:rsid w:val="00364508"/>
    <w:rsid w:val="00366B19"/>
    <w:rsid w:val="00374DDD"/>
    <w:rsid w:val="00386E8D"/>
    <w:rsid w:val="00397522"/>
    <w:rsid w:val="003A02E4"/>
    <w:rsid w:val="003A1239"/>
    <w:rsid w:val="003A2E96"/>
    <w:rsid w:val="003A3406"/>
    <w:rsid w:val="003B08C4"/>
    <w:rsid w:val="003B3647"/>
    <w:rsid w:val="003B6352"/>
    <w:rsid w:val="003C26FC"/>
    <w:rsid w:val="003D041D"/>
    <w:rsid w:val="003D1E06"/>
    <w:rsid w:val="003E08C9"/>
    <w:rsid w:val="003E31C8"/>
    <w:rsid w:val="003E6BA7"/>
    <w:rsid w:val="003F0381"/>
    <w:rsid w:val="003F53C1"/>
    <w:rsid w:val="003F64D9"/>
    <w:rsid w:val="0041161B"/>
    <w:rsid w:val="004141F7"/>
    <w:rsid w:val="0042420E"/>
    <w:rsid w:val="004259BA"/>
    <w:rsid w:val="00434286"/>
    <w:rsid w:val="00440DF3"/>
    <w:rsid w:val="00444D30"/>
    <w:rsid w:val="004506E6"/>
    <w:rsid w:val="00452CCB"/>
    <w:rsid w:val="004573CC"/>
    <w:rsid w:val="00460343"/>
    <w:rsid w:val="004643CA"/>
    <w:rsid w:val="00477457"/>
    <w:rsid w:val="004802CB"/>
    <w:rsid w:val="0048193A"/>
    <w:rsid w:val="004B40E0"/>
    <w:rsid w:val="004C7BE5"/>
    <w:rsid w:val="004D0EF8"/>
    <w:rsid w:val="004D4F05"/>
    <w:rsid w:val="004D6209"/>
    <w:rsid w:val="004E2A78"/>
    <w:rsid w:val="004E3C56"/>
    <w:rsid w:val="004E450C"/>
    <w:rsid w:val="004E6C69"/>
    <w:rsid w:val="004F6BE8"/>
    <w:rsid w:val="00505515"/>
    <w:rsid w:val="0051316A"/>
    <w:rsid w:val="005166AE"/>
    <w:rsid w:val="00527E51"/>
    <w:rsid w:val="00536C96"/>
    <w:rsid w:val="0054492C"/>
    <w:rsid w:val="005510C8"/>
    <w:rsid w:val="005643F8"/>
    <w:rsid w:val="00567E51"/>
    <w:rsid w:val="00574421"/>
    <w:rsid w:val="005745C6"/>
    <w:rsid w:val="00574DCA"/>
    <w:rsid w:val="00577FFD"/>
    <w:rsid w:val="00586091"/>
    <w:rsid w:val="0059453B"/>
    <w:rsid w:val="005A33F7"/>
    <w:rsid w:val="005B0B16"/>
    <w:rsid w:val="005B1F12"/>
    <w:rsid w:val="005C02FB"/>
    <w:rsid w:val="005C1BAF"/>
    <w:rsid w:val="005C1F38"/>
    <w:rsid w:val="005C2F7F"/>
    <w:rsid w:val="005C645D"/>
    <w:rsid w:val="005D12B0"/>
    <w:rsid w:val="005D1671"/>
    <w:rsid w:val="005D4DF6"/>
    <w:rsid w:val="005E3487"/>
    <w:rsid w:val="005E5991"/>
    <w:rsid w:val="005F339C"/>
    <w:rsid w:val="00601425"/>
    <w:rsid w:val="006037ED"/>
    <w:rsid w:val="00605BA1"/>
    <w:rsid w:val="00616981"/>
    <w:rsid w:val="00624CA5"/>
    <w:rsid w:val="00633A9E"/>
    <w:rsid w:val="00634FDF"/>
    <w:rsid w:val="006414E9"/>
    <w:rsid w:val="0064728A"/>
    <w:rsid w:val="006477DA"/>
    <w:rsid w:val="00653251"/>
    <w:rsid w:val="00653590"/>
    <w:rsid w:val="00660E98"/>
    <w:rsid w:val="00663131"/>
    <w:rsid w:val="00672D6D"/>
    <w:rsid w:val="006735ED"/>
    <w:rsid w:val="0067408F"/>
    <w:rsid w:val="00682A20"/>
    <w:rsid w:val="006846F1"/>
    <w:rsid w:val="0068509C"/>
    <w:rsid w:val="00685724"/>
    <w:rsid w:val="006A0E4C"/>
    <w:rsid w:val="006A684C"/>
    <w:rsid w:val="006B0254"/>
    <w:rsid w:val="006C43CF"/>
    <w:rsid w:val="006D6B56"/>
    <w:rsid w:val="006D6D6A"/>
    <w:rsid w:val="006D6F15"/>
    <w:rsid w:val="006D72DE"/>
    <w:rsid w:val="006E48AE"/>
    <w:rsid w:val="0070482D"/>
    <w:rsid w:val="00713210"/>
    <w:rsid w:val="00715852"/>
    <w:rsid w:val="007248EE"/>
    <w:rsid w:val="00724A17"/>
    <w:rsid w:val="007264B4"/>
    <w:rsid w:val="00730900"/>
    <w:rsid w:val="007311EF"/>
    <w:rsid w:val="007406CC"/>
    <w:rsid w:val="007449D3"/>
    <w:rsid w:val="007474BB"/>
    <w:rsid w:val="00754417"/>
    <w:rsid w:val="0075457A"/>
    <w:rsid w:val="0075485B"/>
    <w:rsid w:val="00771464"/>
    <w:rsid w:val="00774D8F"/>
    <w:rsid w:val="00777F5E"/>
    <w:rsid w:val="00786547"/>
    <w:rsid w:val="007A456F"/>
    <w:rsid w:val="007B1853"/>
    <w:rsid w:val="007B78B1"/>
    <w:rsid w:val="007C0795"/>
    <w:rsid w:val="007C5E77"/>
    <w:rsid w:val="007D0CEE"/>
    <w:rsid w:val="007D0FCA"/>
    <w:rsid w:val="007D359E"/>
    <w:rsid w:val="007D5571"/>
    <w:rsid w:val="007D6A11"/>
    <w:rsid w:val="007D7882"/>
    <w:rsid w:val="007E0FB8"/>
    <w:rsid w:val="007E22C5"/>
    <w:rsid w:val="007E3163"/>
    <w:rsid w:val="0080074B"/>
    <w:rsid w:val="008013AD"/>
    <w:rsid w:val="0080316D"/>
    <w:rsid w:val="00806A6A"/>
    <w:rsid w:val="008106DF"/>
    <w:rsid w:val="00826B91"/>
    <w:rsid w:val="00831688"/>
    <w:rsid w:val="00852F2B"/>
    <w:rsid w:val="008544DC"/>
    <w:rsid w:val="0085625A"/>
    <w:rsid w:val="00865C75"/>
    <w:rsid w:val="00872038"/>
    <w:rsid w:val="008742EA"/>
    <w:rsid w:val="00882D6D"/>
    <w:rsid w:val="008839E0"/>
    <w:rsid w:val="00884589"/>
    <w:rsid w:val="00884BA7"/>
    <w:rsid w:val="00884DCE"/>
    <w:rsid w:val="00894F41"/>
    <w:rsid w:val="00894F91"/>
    <w:rsid w:val="008966CF"/>
    <w:rsid w:val="00896750"/>
    <w:rsid w:val="00896781"/>
    <w:rsid w:val="008A6AAF"/>
    <w:rsid w:val="008B1B22"/>
    <w:rsid w:val="008B3AEA"/>
    <w:rsid w:val="008C7387"/>
    <w:rsid w:val="008E6B4A"/>
    <w:rsid w:val="008E7FE8"/>
    <w:rsid w:val="008F21C0"/>
    <w:rsid w:val="008F5F1C"/>
    <w:rsid w:val="008F6EF3"/>
    <w:rsid w:val="00903B0B"/>
    <w:rsid w:val="00916EA7"/>
    <w:rsid w:val="00922D1F"/>
    <w:rsid w:val="009321FB"/>
    <w:rsid w:val="00940B77"/>
    <w:rsid w:val="00945490"/>
    <w:rsid w:val="00946FB0"/>
    <w:rsid w:val="009539A8"/>
    <w:rsid w:val="00962831"/>
    <w:rsid w:val="009657E6"/>
    <w:rsid w:val="00965AD6"/>
    <w:rsid w:val="00981E1D"/>
    <w:rsid w:val="00983D6C"/>
    <w:rsid w:val="00987D60"/>
    <w:rsid w:val="009A4E00"/>
    <w:rsid w:val="009A6995"/>
    <w:rsid w:val="009B396A"/>
    <w:rsid w:val="009B3C6A"/>
    <w:rsid w:val="009C4174"/>
    <w:rsid w:val="009C45B6"/>
    <w:rsid w:val="009D35E2"/>
    <w:rsid w:val="009D3652"/>
    <w:rsid w:val="009E1978"/>
    <w:rsid w:val="009E4011"/>
    <w:rsid w:val="009E55F9"/>
    <w:rsid w:val="009F4663"/>
    <w:rsid w:val="00A0101E"/>
    <w:rsid w:val="00A02F4E"/>
    <w:rsid w:val="00A04200"/>
    <w:rsid w:val="00A12596"/>
    <w:rsid w:val="00A273CA"/>
    <w:rsid w:val="00A44DDE"/>
    <w:rsid w:val="00A53921"/>
    <w:rsid w:val="00A53BAD"/>
    <w:rsid w:val="00A6218B"/>
    <w:rsid w:val="00A715CD"/>
    <w:rsid w:val="00A75559"/>
    <w:rsid w:val="00A842D7"/>
    <w:rsid w:val="00AA05B8"/>
    <w:rsid w:val="00AA4490"/>
    <w:rsid w:val="00AA522D"/>
    <w:rsid w:val="00AB30B4"/>
    <w:rsid w:val="00AB4248"/>
    <w:rsid w:val="00AC706F"/>
    <w:rsid w:val="00AC7521"/>
    <w:rsid w:val="00AD24A9"/>
    <w:rsid w:val="00AD2EA0"/>
    <w:rsid w:val="00AE7C6B"/>
    <w:rsid w:val="00AF0BD0"/>
    <w:rsid w:val="00AF18C7"/>
    <w:rsid w:val="00B02711"/>
    <w:rsid w:val="00B21856"/>
    <w:rsid w:val="00B22603"/>
    <w:rsid w:val="00B23B3F"/>
    <w:rsid w:val="00B256A9"/>
    <w:rsid w:val="00B30AF5"/>
    <w:rsid w:val="00B34253"/>
    <w:rsid w:val="00B460F5"/>
    <w:rsid w:val="00B515C0"/>
    <w:rsid w:val="00B54669"/>
    <w:rsid w:val="00B60D34"/>
    <w:rsid w:val="00B861A3"/>
    <w:rsid w:val="00B8749D"/>
    <w:rsid w:val="00B9055F"/>
    <w:rsid w:val="00B90CA2"/>
    <w:rsid w:val="00B91C58"/>
    <w:rsid w:val="00B95B04"/>
    <w:rsid w:val="00BA2BFD"/>
    <w:rsid w:val="00BA45B3"/>
    <w:rsid w:val="00BA4BB1"/>
    <w:rsid w:val="00BA4EBD"/>
    <w:rsid w:val="00BA5513"/>
    <w:rsid w:val="00BA6149"/>
    <w:rsid w:val="00BA6A0B"/>
    <w:rsid w:val="00BB392E"/>
    <w:rsid w:val="00BB5BF7"/>
    <w:rsid w:val="00BC2B50"/>
    <w:rsid w:val="00BC3D86"/>
    <w:rsid w:val="00BC49F0"/>
    <w:rsid w:val="00BC605C"/>
    <w:rsid w:val="00BD27C9"/>
    <w:rsid w:val="00BF531A"/>
    <w:rsid w:val="00BF574C"/>
    <w:rsid w:val="00C04ADD"/>
    <w:rsid w:val="00C20577"/>
    <w:rsid w:val="00C24E1B"/>
    <w:rsid w:val="00C44447"/>
    <w:rsid w:val="00C53619"/>
    <w:rsid w:val="00C552B7"/>
    <w:rsid w:val="00C735F3"/>
    <w:rsid w:val="00C754BD"/>
    <w:rsid w:val="00C755C9"/>
    <w:rsid w:val="00C817DE"/>
    <w:rsid w:val="00C83CFC"/>
    <w:rsid w:val="00CA38D6"/>
    <w:rsid w:val="00CA6CEA"/>
    <w:rsid w:val="00CB2B9F"/>
    <w:rsid w:val="00CB3479"/>
    <w:rsid w:val="00CB3761"/>
    <w:rsid w:val="00CB620E"/>
    <w:rsid w:val="00CB6A46"/>
    <w:rsid w:val="00CB7D9E"/>
    <w:rsid w:val="00CC3155"/>
    <w:rsid w:val="00CD0A12"/>
    <w:rsid w:val="00CD6ECE"/>
    <w:rsid w:val="00CD7D6B"/>
    <w:rsid w:val="00CD7E2A"/>
    <w:rsid w:val="00CE6D44"/>
    <w:rsid w:val="00CE7663"/>
    <w:rsid w:val="00CF1570"/>
    <w:rsid w:val="00CF2CC3"/>
    <w:rsid w:val="00CF599A"/>
    <w:rsid w:val="00D000A0"/>
    <w:rsid w:val="00D03200"/>
    <w:rsid w:val="00D05A9D"/>
    <w:rsid w:val="00D16134"/>
    <w:rsid w:val="00D30976"/>
    <w:rsid w:val="00D35808"/>
    <w:rsid w:val="00D4091E"/>
    <w:rsid w:val="00D40A87"/>
    <w:rsid w:val="00D43C33"/>
    <w:rsid w:val="00D52B57"/>
    <w:rsid w:val="00D53000"/>
    <w:rsid w:val="00D534F2"/>
    <w:rsid w:val="00D6182F"/>
    <w:rsid w:val="00D62FED"/>
    <w:rsid w:val="00D753AC"/>
    <w:rsid w:val="00D75591"/>
    <w:rsid w:val="00D77686"/>
    <w:rsid w:val="00D81E52"/>
    <w:rsid w:val="00D82AD3"/>
    <w:rsid w:val="00D82FBE"/>
    <w:rsid w:val="00D909A3"/>
    <w:rsid w:val="00D96172"/>
    <w:rsid w:val="00D97A97"/>
    <w:rsid w:val="00DB0614"/>
    <w:rsid w:val="00DC678F"/>
    <w:rsid w:val="00DD23FC"/>
    <w:rsid w:val="00DD3667"/>
    <w:rsid w:val="00DD5E42"/>
    <w:rsid w:val="00E144AA"/>
    <w:rsid w:val="00E14A3E"/>
    <w:rsid w:val="00E259D5"/>
    <w:rsid w:val="00E346B6"/>
    <w:rsid w:val="00E3762F"/>
    <w:rsid w:val="00E42A27"/>
    <w:rsid w:val="00E54433"/>
    <w:rsid w:val="00E55D21"/>
    <w:rsid w:val="00E5602B"/>
    <w:rsid w:val="00E760EC"/>
    <w:rsid w:val="00E8611C"/>
    <w:rsid w:val="00E933DC"/>
    <w:rsid w:val="00E939CB"/>
    <w:rsid w:val="00E97F63"/>
    <w:rsid w:val="00EA6E4D"/>
    <w:rsid w:val="00EB7503"/>
    <w:rsid w:val="00EB7AAF"/>
    <w:rsid w:val="00ED0768"/>
    <w:rsid w:val="00ED4549"/>
    <w:rsid w:val="00ED6B7B"/>
    <w:rsid w:val="00EF339E"/>
    <w:rsid w:val="00EF4B5A"/>
    <w:rsid w:val="00F01EE9"/>
    <w:rsid w:val="00F069F4"/>
    <w:rsid w:val="00F07575"/>
    <w:rsid w:val="00F20BAA"/>
    <w:rsid w:val="00F21931"/>
    <w:rsid w:val="00F253F5"/>
    <w:rsid w:val="00F269CE"/>
    <w:rsid w:val="00F278D2"/>
    <w:rsid w:val="00F27DFE"/>
    <w:rsid w:val="00F32296"/>
    <w:rsid w:val="00F33262"/>
    <w:rsid w:val="00F33308"/>
    <w:rsid w:val="00F3368C"/>
    <w:rsid w:val="00F41819"/>
    <w:rsid w:val="00F44E40"/>
    <w:rsid w:val="00F55B38"/>
    <w:rsid w:val="00F65786"/>
    <w:rsid w:val="00F72054"/>
    <w:rsid w:val="00F72585"/>
    <w:rsid w:val="00F74428"/>
    <w:rsid w:val="00F75F7D"/>
    <w:rsid w:val="00F77793"/>
    <w:rsid w:val="00F8191E"/>
    <w:rsid w:val="00F844AA"/>
    <w:rsid w:val="00F92A9F"/>
    <w:rsid w:val="00F96440"/>
    <w:rsid w:val="00FA6A31"/>
    <w:rsid w:val="00FB0AF3"/>
    <w:rsid w:val="00FB4DFE"/>
    <w:rsid w:val="00FB6678"/>
    <w:rsid w:val="00FB7375"/>
    <w:rsid w:val="00FC0160"/>
    <w:rsid w:val="00FC08F1"/>
    <w:rsid w:val="00FC1F74"/>
    <w:rsid w:val="00FC3F71"/>
    <w:rsid w:val="00FC4832"/>
    <w:rsid w:val="00FC66D2"/>
    <w:rsid w:val="00FD0F09"/>
    <w:rsid w:val="00FD465E"/>
    <w:rsid w:val="00FD4B91"/>
    <w:rsid w:val="00FD4BA1"/>
    <w:rsid w:val="00FE001E"/>
    <w:rsid w:val="00FF0986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A5D7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9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agwek2"/>
    <w:link w:val="Nagwek1Znak"/>
    <w:autoRedefine/>
    <w:qFormat/>
    <w:rsid w:val="009657E6"/>
    <w:pPr>
      <w:widowControl/>
      <w:numPr>
        <w:numId w:val="4"/>
      </w:numPr>
      <w:tabs>
        <w:tab w:val="clear" w:pos="574"/>
        <w:tab w:val="num" w:pos="426"/>
      </w:tabs>
      <w:autoSpaceDE/>
      <w:autoSpaceDN/>
      <w:adjustRightInd/>
      <w:spacing w:before="360" w:after="120"/>
      <w:ind w:left="431" w:hanging="431"/>
      <w:outlineLvl w:val="0"/>
    </w:pPr>
    <w:rPr>
      <w:rFonts w:cs="Times New Roman"/>
      <w:b/>
      <w:bCs/>
      <w:caps/>
      <w:kern w:val="32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9657E6"/>
    <w:pPr>
      <w:widowControl/>
      <w:numPr>
        <w:ilvl w:val="1"/>
        <w:numId w:val="4"/>
      </w:numPr>
      <w:autoSpaceDE/>
      <w:autoSpaceDN/>
      <w:adjustRightInd/>
      <w:spacing w:before="60" w:after="120"/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ormalny"/>
    <w:link w:val="Nagwek3Znak"/>
    <w:autoRedefine/>
    <w:qFormat/>
    <w:rsid w:val="009657E6"/>
    <w:pPr>
      <w:widowControl/>
      <w:numPr>
        <w:ilvl w:val="2"/>
        <w:numId w:val="4"/>
      </w:numPr>
      <w:tabs>
        <w:tab w:val="clear" w:pos="720"/>
        <w:tab w:val="left" w:pos="900"/>
      </w:tabs>
      <w:autoSpaceDE/>
      <w:autoSpaceDN/>
      <w:adjustRightInd/>
      <w:spacing w:before="60" w:after="120"/>
      <w:ind w:left="896" w:hanging="357"/>
      <w:jc w:val="both"/>
      <w:outlineLvl w:val="2"/>
    </w:pPr>
    <w:rPr>
      <w:rFonts w:cs="Times New Roman"/>
      <w:bCs/>
      <w:sz w:val="22"/>
      <w:szCs w:val="22"/>
    </w:rPr>
  </w:style>
  <w:style w:type="paragraph" w:styleId="Nagwek4">
    <w:name w:val="heading 4"/>
    <w:basedOn w:val="Normalny"/>
    <w:link w:val="Nagwek4Znak"/>
    <w:autoRedefine/>
    <w:qFormat/>
    <w:rsid w:val="009657E6"/>
    <w:pPr>
      <w:keepNext/>
      <w:widowControl/>
      <w:numPr>
        <w:ilvl w:val="3"/>
        <w:numId w:val="4"/>
      </w:numPr>
      <w:tabs>
        <w:tab w:val="clear" w:pos="864"/>
        <w:tab w:val="num" w:pos="1260"/>
      </w:tabs>
      <w:autoSpaceDE/>
      <w:autoSpaceDN/>
      <w:adjustRightInd/>
      <w:spacing w:before="60" w:after="60"/>
      <w:ind w:left="902" w:firstLine="0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57E6"/>
    <w:pPr>
      <w:widowControl/>
      <w:numPr>
        <w:ilvl w:val="4"/>
        <w:numId w:val="4"/>
      </w:numPr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657E6"/>
    <w:pPr>
      <w:widowControl/>
      <w:numPr>
        <w:ilvl w:val="5"/>
        <w:numId w:val="4"/>
      </w:numPr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657E6"/>
    <w:pPr>
      <w:widowControl/>
      <w:numPr>
        <w:ilvl w:val="6"/>
        <w:numId w:val="4"/>
      </w:numPr>
      <w:autoSpaceDE/>
      <w:autoSpaceDN/>
      <w:adjustRightInd/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57E6"/>
    <w:pPr>
      <w:widowControl/>
      <w:numPr>
        <w:ilvl w:val="7"/>
        <w:numId w:val="4"/>
      </w:numPr>
      <w:autoSpaceDE/>
      <w:autoSpaceDN/>
      <w:adjustRightInd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657E6"/>
    <w:pPr>
      <w:widowControl/>
      <w:numPr>
        <w:ilvl w:val="8"/>
        <w:numId w:val="4"/>
      </w:numPr>
      <w:autoSpaceDE/>
      <w:autoSpaceDN/>
      <w:adjustRightInd/>
      <w:spacing w:before="240" w:after="60"/>
      <w:outlineLvl w:val="8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9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097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2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6442F"/>
    <w:pPr>
      <w:numPr>
        <w:numId w:val="2"/>
      </w:numPr>
    </w:pPr>
  </w:style>
  <w:style w:type="character" w:customStyle="1" w:styleId="Nagwek1Znak">
    <w:name w:val="Nagłówek 1 Znak"/>
    <w:link w:val="Nagwek1"/>
    <w:rsid w:val="009657E6"/>
    <w:rPr>
      <w:rFonts w:ascii="Arial" w:eastAsia="Times New Roman" w:hAnsi="Arial"/>
      <w:b/>
      <w:bCs/>
      <w:caps/>
      <w:kern w:val="32"/>
      <w:sz w:val="22"/>
      <w:szCs w:val="22"/>
    </w:rPr>
  </w:style>
  <w:style w:type="character" w:customStyle="1" w:styleId="Nagwek2Znak">
    <w:name w:val="Nagłówek 2 Znak"/>
    <w:link w:val="Nagwek2"/>
    <w:rsid w:val="009657E6"/>
    <w:rPr>
      <w:rFonts w:ascii="Arial" w:eastAsia="Times New Roman" w:hAnsi="Arial"/>
      <w:bCs/>
      <w:iCs/>
    </w:rPr>
  </w:style>
  <w:style w:type="character" w:customStyle="1" w:styleId="Nagwek3Znak">
    <w:name w:val="Nagłówek 3 Znak"/>
    <w:link w:val="Nagwek3"/>
    <w:rsid w:val="009657E6"/>
    <w:rPr>
      <w:rFonts w:ascii="Arial" w:eastAsia="Times New Roman" w:hAnsi="Arial"/>
      <w:bCs/>
      <w:sz w:val="22"/>
      <w:szCs w:val="22"/>
    </w:rPr>
  </w:style>
  <w:style w:type="character" w:customStyle="1" w:styleId="Nagwek4Znak">
    <w:name w:val="Nagłówek 4 Znak"/>
    <w:link w:val="Nagwek4"/>
    <w:rsid w:val="009657E6"/>
    <w:rPr>
      <w:rFonts w:ascii="Times New Roman" w:eastAsia="Times New Roman" w:hAnsi="Times New Roman"/>
      <w:bCs/>
      <w:sz w:val="24"/>
      <w:szCs w:val="24"/>
    </w:rPr>
  </w:style>
  <w:style w:type="character" w:customStyle="1" w:styleId="Nagwek5Znak">
    <w:name w:val="Nagłówek 5 Znak"/>
    <w:link w:val="Nagwek5"/>
    <w:rsid w:val="009657E6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657E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657E6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9657E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657E6"/>
    <w:rPr>
      <w:rFonts w:ascii="Arial" w:eastAsia="Times New Roman" w:hAnsi="Arial"/>
      <w:sz w:val="22"/>
      <w:szCs w:val="22"/>
    </w:rPr>
  </w:style>
  <w:style w:type="paragraph" w:styleId="Tekstpodstawowy">
    <w:name w:val="Body Text"/>
    <w:basedOn w:val="Normalny"/>
    <w:link w:val="TekstpodstawowyZnak"/>
    <w:rsid w:val="009657E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657E6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9453B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36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53619"/>
    <w:rPr>
      <w:rFonts w:ascii="Arial" w:eastAsia="Times New Roman" w:hAnsi="Arial" w:cs="Arial"/>
      <w:sz w:val="16"/>
      <w:szCs w:val="16"/>
    </w:rPr>
  </w:style>
  <w:style w:type="paragraph" w:customStyle="1" w:styleId="Standard">
    <w:name w:val="Standard"/>
    <w:rsid w:val="004D4F05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1B7A2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5372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4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BA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4BA1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BA1"/>
    <w:rPr>
      <w:rFonts w:ascii="Arial" w:eastAsia="Times New Roman" w:hAnsi="Arial" w:cs="Arial"/>
      <w:b/>
      <w:bCs/>
    </w:rPr>
  </w:style>
  <w:style w:type="paragraph" w:styleId="Poprawka">
    <w:name w:val="Revision"/>
    <w:hidden/>
    <w:uiPriority w:val="99"/>
    <w:semiHidden/>
    <w:rsid w:val="0006391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82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obrabiarki-54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5A11-3E0A-4CCE-B8A8-7F059DE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2934</Words>
  <Characters>17609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 Consulting Group</Company>
  <LinksUpToDate>false</LinksUpToDate>
  <CharactersWithSpaces>20502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EGC</dc:creator>
  <cp:lastModifiedBy>Maciej Łobodziński</cp:lastModifiedBy>
  <cp:revision>22</cp:revision>
  <cp:lastPrinted>2017-02-21T20:15:00Z</cp:lastPrinted>
  <dcterms:created xsi:type="dcterms:W3CDTF">2025-10-23T06:56:00Z</dcterms:created>
  <dcterms:modified xsi:type="dcterms:W3CDTF">2025-11-26T15:07:00Z</dcterms:modified>
</cp:coreProperties>
</file>